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header9.xml" ContentType="application/vnd.openxmlformats-officedocument.wordprocessingml.header+xml"/>
  <Override PartName="/word/header11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5.xml" ContentType="application/vnd.openxmlformats-officedocument.wordprocessingml.header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header6.xml" ContentType="application/vnd.openxmlformats-officedocument.wordprocessingml.header+xml"/>
  <Override PartName="/word/header10.xml" ContentType="application/vnd.openxmlformats-officedocument.wordprocessingml.header+xml"/>
  <Override PartName="/word/header7.xml" ContentType="application/vnd.openxmlformats-officedocument.wordprocessingml.header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</w:r>
    </w:p>
    <w:p>
      <w:pPr>
        <w:pStyle w:val="Normal"/>
        <w:jc w:val="right"/>
        <w:rPr>
          <w:rFonts w:eastAsia="Calibri"/>
          <w:sz w:val="32"/>
          <w:szCs w:val="32"/>
        </w:rPr>
      </w:pPr>
      <w:r>
        <w:rPr>
          <w:rFonts w:eastAsia="Calibri"/>
          <w:sz w:val="32"/>
          <w:szCs w:val="32"/>
        </w:rPr>
      </w:r>
    </w:p>
    <w:p>
      <w:pPr>
        <w:pStyle w:val="Normal"/>
        <w:jc w:val="right"/>
        <w:rPr>
          <w:rFonts w:eastAsia="Calibri"/>
          <w:sz w:val="32"/>
          <w:szCs w:val="32"/>
        </w:rPr>
      </w:pPr>
      <w:r>
        <w:rPr>
          <w:rFonts w:eastAsia="Calibri"/>
          <w:sz w:val="32"/>
          <w:szCs w:val="32"/>
        </w:rPr>
      </w:r>
    </w:p>
    <w:p>
      <w:pPr>
        <w:pStyle w:val="Normal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</w:r>
    </w:p>
    <w:p>
      <w:pPr>
        <w:pStyle w:val="Normal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</w:r>
    </w:p>
    <w:p>
      <w:pPr>
        <w:pStyle w:val="Normal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</w:r>
    </w:p>
    <w:p>
      <w:pPr>
        <w:pStyle w:val="Normal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</w:r>
    </w:p>
    <w:p>
      <w:pPr>
        <w:pStyle w:val="Normal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</w:r>
    </w:p>
    <w:p>
      <w:pPr>
        <w:pStyle w:val="Normal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</w:r>
    </w:p>
    <w:p>
      <w:pPr>
        <w:pStyle w:val="Normal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</w:r>
    </w:p>
    <w:p>
      <w:pPr>
        <w:pStyle w:val="Normal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</w:r>
    </w:p>
    <w:p>
      <w:pPr>
        <w:pStyle w:val="Normal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</w:r>
    </w:p>
    <w:p>
      <w:pPr>
        <w:pStyle w:val="Normal"/>
        <w:jc w:val="center"/>
        <w:rPr/>
      </w:pPr>
      <w:r>
        <w:rPr>
          <w:rFonts w:eastAsia="Calibri"/>
          <w:b/>
          <w:sz w:val="32"/>
          <w:szCs w:val="32"/>
        </w:rPr>
        <w:t>Технические требования</w:t>
      </w:r>
    </w:p>
    <w:p>
      <w:pPr>
        <w:pStyle w:val="Normal"/>
        <w:jc w:val="center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</w:r>
    </w:p>
    <w:p>
      <w:pPr>
        <w:pStyle w:val="Normal"/>
        <w:jc w:val="center"/>
        <w:rPr/>
      </w:pPr>
      <w:r>
        <w:rPr>
          <w:rFonts w:eastAsia="Calibri"/>
          <w:iCs/>
          <w:sz w:val="26"/>
          <w:szCs w:val="26"/>
        </w:rPr>
        <w:t>ОКПД2 42.11.10.120 Выполнение работ на восстановление асфальтобетонного покрытия автодороги и площадок Волжской ГЭС</w:t>
      </w:r>
    </w:p>
    <w:p>
      <w:pPr>
        <w:pStyle w:val="Normal"/>
        <w:jc w:val="center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</w:r>
    </w:p>
    <w:p>
      <w:pPr>
        <w:pStyle w:val="Normal"/>
        <w:jc w:val="center"/>
        <w:rPr/>
      </w:pPr>
      <w:r>
        <w:rPr>
          <w:rFonts w:eastAsia="Calibri"/>
          <w:sz w:val="26"/>
          <w:szCs w:val="26"/>
        </w:rPr>
        <w:t>Лот №000</w:t>
      </w:r>
      <w:r>
        <w:rPr>
          <w:rFonts w:eastAsia="Calibri"/>
          <w:sz w:val="26"/>
          <w:szCs w:val="26"/>
        </w:rPr>
        <w:t>6</w:t>
      </w:r>
      <w:r>
        <w:rPr>
          <w:rFonts w:eastAsia="Calibri"/>
          <w:sz w:val="26"/>
          <w:szCs w:val="26"/>
        </w:rPr>
        <w:t>-ТПИР ОБСЛ ДОХ-2026-ГРВКК-ВолФ</w:t>
      </w:r>
    </w:p>
    <w:p>
      <w:pPr>
        <w:pStyle w:val="Normal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</w:r>
    </w:p>
    <w:p>
      <w:pPr>
        <w:pStyle w:val="Normal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</w:r>
    </w:p>
    <w:p>
      <w:pPr>
        <w:pStyle w:val="Normal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</w:r>
    </w:p>
    <w:p>
      <w:pPr>
        <w:pStyle w:val="Normal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</w:r>
    </w:p>
    <w:p>
      <w:pPr>
        <w:pStyle w:val="Normal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</w:r>
    </w:p>
    <w:p>
      <w:pPr>
        <w:pStyle w:val="Normal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</w:r>
    </w:p>
    <w:p>
      <w:pPr>
        <w:pStyle w:val="Normal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</w:r>
    </w:p>
    <w:p>
      <w:pPr>
        <w:pStyle w:val="Normal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</w:r>
    </w:p>
    <w:p>
      <w:pPr>
        <w:pStyle w:val="Normal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</w:r>
    </w:p>
    <w:p>
      <w:pPr>
        <w:pStyle w:val="Normal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</w:r>
    </w:p>
    <w:p>
      <w:pPr>
        <w:pStyle w:val="Normal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</w:r>
    </w:p>
    <w:p>
      <w:pPr>
        <w:pStyle w:val="Normal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</w:r>
    </w:p>
    <w:p>
      <w:pPr>
        <w:pStyle w:val="Normal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</w:r>
    </w:p>
    <w:p>
      <w:pPr>
        <w:pStyle w:val="Normal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</w:r>
    </w:p>
    <w:p>
      <w:pPr>
        <w:pStyle w:val="Normal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</w:r>
    </w:p>
    <w:p>
      <w:pPr>
        <w:pStyle w:val="Normal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</w:r>
    </w:p>
    <w:p>
      <w:pPr>
        <w:pStyle w:val="Normal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</w:r>
    </w:p>
    <w:p>
      <w:pPr>
        <w:pStyle w:val="Normal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</w:r>
    </w:p>
    <w:p>
      <w:pPr>
        <w:pStyle w:val="Normal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</w:r>
    </w:p>
    <w:p>
      <w:pPr>
        <w:pStyle w:val="Normal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</w:r>
    </w:p>
    <w:p>
      <w:pPr>
        <w:pStyle w:val="Normal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</w:r>
    </w:p>
    <w:p>
      <w:pPr>
        <w:pStyle w:val="Normal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</w:r>
    </w:p>
    <w:p>
      <w:pPr>
        <w:pStyle w:val="Normal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</w:r>
    </w:p>
    <w:p>
      <w:pPr>
        <w:pStyle w:val="Heading1"/>
        <w:numPr>
          <w:ilvl w:val="0"/>
          <w:numId w:val="3"/>
        </w:numPr>
        <w:ind w:left="0" w:hanging="0"/>
        <w:jc w:val="center"/>
        <w:rPr/>
      </w:pPr>
      <w:bookmarkStart w:id="0" w:name="__RefHeading___Toc31020_2759022566"/>
      <w:bookmarkStart w:id="1" w:name="_Toc51921655"/>
      <w:bookmarkStart w:id="2" w:name="_Toc125123764"/>
      <w:bookmarkEnd w:id="0"/>
      <w:r>
        <w:rPr/>
        <w:t>Общие сведения</w:t>
      </w:r>
      <w:bookmarkEnd w:id="1"/>
      <w:bookmarkEnd w:id="2"/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Heading4"/>
        <w:numPr>
          <w:ilvl w:val="1"/>
          <w:numId w:val="3"/>
        </w:numPr>
        <w:ind w:left="709" w:hanging="709"/>
        <w:rPr/>
      </w:pPr>
      <w:bookmarkStart w:id="3" w:name="__RefHeading___Toc31022_2759022566"/>
      <w:bookmarkStart w:id="4" w:name="_Toc125123765"/>
      <w:bookmarkEnd w:id="3"/>
      <w:r>
        <w:rPr/>
        <w:t>Обозначения и сокращения</w:t>
      </w:r>
      <w:bookmarkEnd w:id="4"/>
    </w:p>
    <w:p>
      <w:pPr>
        <w:pStyle w:val="Normal"/>
        <w:keepNext w:val="true"/>
        <w:keepLines/>
        <w:spacing w:before="120" w:after="120"/>
        <w:jc w:val="both"/>
        <w:rPr>
          <w:b/>
          <w:bCs/>
          <w:i/>
          <w:i/>
          <w:iCs/>
          <w:sz w:val="24"/>
          <w:szCs w:val="24"/>
          <w:u w:val="single"/>
        </w:rPr>
      </w:pPr>
      <w:r>
        <w:rPr>
          <w:b/>
          <w:bCs/>
          <w:i/>
          <w:iCs/>
          <w:sz w:val="24"/>
          <w:szCs w:val="24"/>
          <w:u w:val="single"/>
        </w:rPr>
      </w:r>
    </w:p>
    <w:tbl>
      <w:tblPr>
        <w:tblW w:w="978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785"/>
        <w:gridCol w:w="7997"/>
      </w:tblGrid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i/>
                <w:iCs/>
                <w:sz w:val="24"/>
                <w:szCs w:val="24"/>
              </w:rPr>
              <w:t>СТО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iCs/>
                <w:sz w:val="24"/>
                <w:szCs w:val="24"/>
              </w:rPr>
              <w:t>Стандарт организации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i/>
                <w:iCs/>
                <w:sz w:val="24"/>
                <w:szCs w:val="24"/>
              </w:rPr>
              <w:t>ТТ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iCs/>
                <w:sz w:val="24"/>
                <w:szCs w:val="24"/>
              </w:rPr>
              <w:t>Технические требования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i/>
                <w:iCs/>
                <w:sz w:val="24"/>
                <w:szCs w:val="24"/>
              </w:rPr>
              <w:t>ГЭС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iCs/>
                <w:sz w:val="24"/>
                <w:szCs w:val="24"/>
              </w:rPr>
              <w:t>Гидроэлектростанция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i/>
                <w:iCs/>
                <w:sz w:val="24"/>
                <w:szCs w:val="24"/>
              </w:rPr>
              <w:t>НТД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iCs/>
                <w:sz w:val="24"/>
                <w:szCs w:val="24"/>
              </w:rPr>
              <w:t>Нормативно-технический документ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i/>
                <w:iCs/>
                <w:sz w:val="24"/>
                <w:szCs w:val="24"/>
              </w:rPr>
              <w:t>ППР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Проект производства работ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i/>
                <w:iCs/>
                <w:sz w:val="24"/>
                <w:szCs w:val="24"/>
              </w:rPr>
              <w:t>ТК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iCs/>
                <w:sz w:val="24"/>
                <w:szCs w:val="24"/>
              </w:rPr>
              <w:t>Технологическая карта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i/>
                <w:iCs/>
                <w:sz w:val="24"/>
                <w:szCs w:val="24"/>
              </w:rPr>
              <w:t>ПС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iCs/>
                <w:sz w:val="24"/>
                <w:szCs w:val="24"/>
              </w:rPr>
              <w:t>Подъёмное сооружение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i/>
                <w:iCs/>
                <w:sz w:val="24"/>
                <w:szCs w:val="24"/>
              </w:rPr>
              <w:t>РТН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iCs/>
                <w:sz w:val="24"/>
                <w:szCs w:val="24"/>
              </w:rPr>
              <w:t>Ростехнадзор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rFonts w:eastAsia="Calibri"/>
                <w:sz w:val="24"/>
                <w:szCs w:val="24"/>
                <w:lang w:eastAsia="en-US"/>
              </w:rPr>
              <w:t>ПДЭК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iCs/>
                <w:sz w:val="24"/>
                <w:szCs w:val="24"/>
              </w:rPr>
              <w:t>Постоянно действующая экзаменационная комиссия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i/>
                <w:iCs/>
                <w:sz w:val="24"/>
                <w:szCs w:val="24"/>
              </w:rPr>
              <w:t>ОТ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iCs/>
                <w:sz w:val="24"/>
                <w:szCs w:val="24"/>
              </w:rPr>
              <w:t>Охрана труда</w:t>
            </w:r>
          </w:p>
        </w:tc>
      </w:tr>
    </w:tbl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jc w:val="both"/>
        <w:rPr>
          <w:i/>
          <w:i/>
          <w:iCs/>
          <w:sz w:val="24"/>
          <w:szCs w:val="24"/>
        </w:rPr>
      </w:pPr>
      <w:r>
        <w:rPr>
          <w:i/>
          <w:iCs/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Heading4"/>
        <w:numPr>
          <w:ilvl w:val="1"/>
          <w:numId w:val="3"/>
        </w:numPr>
        <w:ind w:left="709" w:hanging="709"/>
        <w:rPr/>
      </w:pPr>
      <w:bookmarkStart w:id="5" w:name="__RefHeading___Toc31024_2759022566"/>
      <w:bookmarkStart w:id="6" w:name="_Toc125123766"/>
      <w:bookmarkEnd w:id="5"/>
      <w:r>
        <w:rPr/>
        <w:t>Наименование закупаемой продукции</w:t>
      </w:r>
      <w:bookmarkEnd w:id="6"/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/>
      </w:pPr>
      <w:r>
        <w:rPr>
          <w:iCs/>
          <w:sz w:val="24"/>
          <w:szCs w:val="24"/>
        </w:rPr>
        <w:t>ОКПД2 42.11.10.120 Выполнение работ на восстановление асфальтобетонного покрытия автодороги и площадок Волжской ГЭС</w:t>
      </w:r>
    </w:p>
    <w:p>
      <w:pPr>
        <w:pStyle w:val="Heading4"/>
        <w:numPr>
          <w:ilvl w:val="1"/>
          <w:numId w:val="3"/>
        </w:numPr>
        <w:ind w:left="709" w:hanging="709"/>
        <w:rPr/>
      </w:pPr>
      <w:bookmarkStart w:id="7" w:name="__RefHeading___Toc31026_2759022566"/>
      <w:bookmarkStart w:id="8" w:name="_Toc125123767"/>
      <w:bookmarkEnd w:id="7"/>
      <w:r>
        <w:rPr/>
        <w:t xml:space="preserve">Цель </w:t>
      </w:r>
      <w:r>
        <w:rPr>
          <w:lang w:val="ru-RU"/>
        </w:rPr>
        <w:t>выполнения работ</w:t>
      </w:r>
      <w:bookmarkEnd w:id="8"/>
      <w:r>
        <w:rPr>
          <w:sz w:val="28"/>
          <w:lang w:val="ru-RU"/>
        </w:rPr>
        <w:t xml:space="preserve"> 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/>
      </w:pPr>
      <w:r>
        <w:rPr/>
        <w:t>«</w:t>
      </w:r>
      <w:r>
        <w:rPr>
          <w:sz w:val="24"/>
          <w:szCs w:val="24"/>
        </w:rPr>
        <w:t>Целью работы является восстановление асфальтобетонного покрытия автодороги и площадок после прокладки кабельных линий 220 кВ Волжской ГЭС в рамках реализации Договора подряда №1-ВЛГЭС-2021 от 22.10.2021г. «Выполнение работ по монтажу и наладке кабельных линий 220 кВ для реализации проекта «Модернизация маслонаполненных кабелей 220 кВ (очереди 1-5) Волжской ГЭС», заключенный между АО «УК ГидроОГК» и АО «Гидроремонт-ВКК»</w:t>
      </w:r>
      <w:r>
        <w:rPr/>
        <w:t>.</w:t>
      </w:r>
    </w:p>
    <w:p>
      <w:pPr>
        <w:pStyle w:val="Heading4"/>
        <w:tabs>
          <w:tab w:val="clear" w:pos="0"/>
        </w:tabs>
        <w:ind w:left="709" w:hanging="0"/>
        <w:rPr>
          <w:lang w:val="ru-RU"/>
        </w:rPr>
      </w:pPr>
      <w:r>
        <w:rPr>
          <w:lang w:val="ru-RU"/>
        </w:rPr>
      </w:r>
    </w:p>
    <w:p>
      <w:pPr>
        <w:pStyle w:val="Style27"/>
        <w:numPr>
          <w:ilvl w:val="0"/>
          <w:numId w:val="0"/>
        </w:numPr>
        <w:ind w:left="0" w:hanging="0"/>
        <w:jc w:val="left"/>
        <w:outlineLvl w:val="0"/>
        <w:rPr/>
      </w:pPr>
      <w:bookmarkStart w:id="9" w:name="__RefHeading___Toc31030_2759022566"/>
      <w:bookmarkStart w:id="10" w:name="_Toc125123769"/>
      <w:bookmarkEnd w:id="9"/>
      <w:r>
        <w:rPr/>
        <w:t>Таблица 1. Перечень объектов заказчика</w:t>
      </w:r>
      <w:bookmarkEnd w:id="10"/>
    </w:p>
    <w:tbl>
      <w:tblPr>
        <w:tblW w:w="10067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816"/>
        <w:gridCol w:w="2175"/>
        <w:gridCol w:w="4663"/>
        <w:gridCol w:w="2412"/>
      </w:tblGrid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0"/>
                <w:szCs w:val="20"/>
              </w:rPr>
              <w:t>№</w:t>
            </w:r>
          </w:p>
          <w:p>
            <w:pPr>
              <w:pStyle w:val="Normal"/>
              <w:widowControl w:val="false"/>
              <w:rPr/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  <w:szCs w:val="20"/>
              </w:rPr>
              <w:t>Наименование объекта</w:t>
            </w:r>
          </w:p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  <w:szCs w:val="20"/>
              </w:rPr>
              <w:t xml:space="preserve">Расположение объекта </w:t>
              <w:br/>
              <w:t>(место производства работ)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  <w:szCs w:val="20"/>
              </w:rPr>
              <w:t xml:space="preserve">Наименование основного средства </w:t>
              <w:br/>
              <w:t>(в отношении которого выполняются работы)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>
          <w:trHeight w:val="677" w:hRule="atLeast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rPr>
                <w:i/>
                <w:i/>
                <w:iCs/>
              </w:rPr>
            </w:pPr>
            <w:r>
              <w:rPr>
                <w:i/>
                <w:iCs/>
              </w:rPr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Кольцевая дорога по низовому пирсу  ГЭС</w:t>
            </w: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«РусГидро»-«Волжская ГЭС» Российская Федерация, 404130, Волгоградская обл., г. Волжский, пр-т Ленина, д. 1А.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Дорога по низовому пирсу  ГЭС</w:t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426" w:leader="none"/>
        </w:tabs>
        <w:spacing w:before="0" w:after="0"/>
        <w:contextualSpacing w:val="false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</w:r>
    </w:p>
    <w:p>
      <w:pPr>
        <w:pStyle w:val="Normal"/>
        <w:jc w:val="both"/>
        <w:rPr/>
      </w:pPr>
      <w:r>
        <w:rPr>
          <w:i/>
          <w:iCs/>
          <w:sz w:val="24"/>
          <w:szCs w:val="24"/>
        </w:rPr>
        <w:t xml:space="preserve"> </w:t>
      </w:r>
      <w:r>
        <w:rPr>
          <w:iCs/>
          <w:sz w:val="24"/>
          <w:szCs w:val="24"/>
        </w:rPr>
        <w:t>Производство работ по восстановлению асфальтобетонного покрытия автодороги и площадок осуществляется:</w:t>
      </w:r>
    </w:p>
    <w:p>
      <w:pPr>
        <w:pStyle w:val="Normal"/>
        <w:jc w:val="both"/>
        <w:rPr/>
      </w:pPr>
      <w:r>
        <w:rPr>
          <w:iCs/>
          <w:sz w:val="24"/>
          <w:szCs w:val="24"/>
        </w:rPr>
        <w:t>- в охранной зоне действующей воздушной линии электропередачи;</w:t>
      </w:r>
    </w:p>
    <w:p>
      <w:pPr>
        <w:pStyle w:val="Normal"/>
        <w:jc w:val="both"/>
        <w:rPr/>
      </w:pPr>
      <w:r>
        <w:rPr>
          <w:iCs/>
          <w:sz w:val="24"/>
          <w:szCs w:val="24"/>
        </w:rPr>
        <w:t>- вблизи объектов, находящихся под напряжением.</w:t>
      </w:r>
    </w:p>
    <w:p>
      <w:pPr>
        <w:pStyle w:val="Heading4"/>
        <w:numPr>
          <w:ilvl w:val="1"/>
          <w:numId w:val="3"/>
        </w:numPr>
        <w:ind w:left="709" w:hanging="709"/>
        <w:rPr/>
      </w:pPr>
      <w:bookmarkStart w:id="11" w:name="__RefHeading___Toc31032_2759022566"/>
      <w:bookmarkStart w:id="12" w:name="_Toc125123770"/>
      <w:bookmarkStart w:id="13" w:name="_Toc51955737"/>
      <w:bookmarkStart w:id="14" w:name="_Toc51955803"/>
      <w:bookmarkStart w:id="15" w:name="_Toc51955739"/>
      <w:bookmarkStart w:id="16" w:name="_Toc51955690"/>
      <w:bookmarkStart w:id="17" w:name="_Toc51921827"/>
      <w:bookmarkStart w:id="18" w:name="_Toc51955851"/>
      <w:bookmarkStart w:id="19" w:name="_Toc51955802"/>
      <w:bookmarkStart w:id="20" w:name="_Toc51955738"/>
      <w:bookmarkStart w:id="21" w:name="_Toc51955689"/>
      <w:bookmarkStart w:id="22" w:name="_Toc51955852"/>
      <w:bookmarkStart w:id="23" w:name="_Toc51955850"/>
      <w:bookmarkStart w:id="24" w:name="_Toc51921826"/>
      <w:bookmarkStart w:id="25" w:name="_Toc51921828"/>
      <w:bookmarkStart w:id="26" w:name="_Toc51955733"/>
      <w:bookmarkStart w:id="27" w:name="_Toc51955854"/>
      <w:bookmarkStart w:id="28" w:name="_Toc51955805"/>
      <w:bookmarkStart w:id="29" w:name="_Toc51955741"/>
      <w:bookmarkStart w:id="30" w:name="_Toc51955692"/>
      <w:bookmarkStart w:id="31" w:name="_Toc51921829"/>
      <w:bookmarkStart w:id="32" w:name="_Toc51955804"/>
      <w:bookmarkStart w:id="33" w:name="_Toc51955740"/>
      <w:bookmarkStart w:id="34" w:name="_Toc51955801"/>
      <w:bookmarkStart w:id="35" w:name="_Toc51955691"/>
      <w:bookmarkStart w:id="36" w:name="_Toc51955735"/>
      <w:bookmarkStart w:id="37" w:name="_Toc51955853"/>
      <w:bookmarkStart w:id="38" w:name="_Toc51955684"/>
      <w:bookmarkStart w:id="39" w:name="_Toc51955797"/>
      <w:bookmarkStart w:id="40" w:name="_Toc51955846"/>
      <w:bookmarkStart w:id="41" w:name="_Toc51921822"/>
      <w:bookmarkStart w:id="42" w:name="_Toc51955685"/>
      <w:bookmarkStart w:id="43" w:name="_Toc51955734"/>
      <w:bookmarkStart w:id="44" w:name="_Toc51955798"/>
      <w:bookmarkStart w:id="45" w:name="_Toc51955847"/>
      <w:bookmarkStart w:id="46" w:name="_Toc51921823"/>
      <w:bookmarkStart w:id="47" w:name="_Toc51955688"/>
      <w:bookmarkStart w:id="48" w:name="_Toc51921821"/>
      <w:bookmarkStart w:id="49" w:name="_Toc51955799"/>
      <w:bookmarkStart w:id="50" w:name="_Toc51955848"/>
      <w:bookmarkStart w:id="51" w:name="_Toc51921824"/>
      <w:bookmarkStart w:id="52" w:name="_Toc51955687"/>
      <w:bookmarkStart w:id="53" w:name="_Toc51955736"/>
      <w:bookmarkStart w:id="54" w:name="_Toc51955800"/>
      <w:bookmarkStart w:id="55" w:name="_Toc51955849"/>
      <w:bookmarkStart w:id="56" w:name="_Toc51921825"/>
      <w:bookmarkStart w:id="57" w:name="_Toc51955686"/>
      <w:bookmarkEnd w:id="11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r>
        <w:rPr/>
        <w:t xml:space="preserve">Информация в отношении исполнения договора, </w:t>
      </w:r>
      <w:bookmarkStart w:id="58" w:name="_Hlk46492347"/>
      <w:r>
        <w:rPr/>
        <w:t xml:space="preserve">которая должна быть учтена при подготовке заявки </w:t>
      </w:r>
      <w:bookmarkEnd w:id="58"/>
      <w:r>
        <w:rPr/>
        <w:t>(в том числе перечень ресурсов, услуг и документов, предоставляемых заказчиком на этапе исполнения договора)</w:t>
      </w:r>
      <w:bookmarkEnd w:id="12"/>
      <w:r>
        <w:rPr>
          <w:lang w:val="ru-RU"/>
        </w:rPr>
        <w:t xml:space="preserve"> 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0" w:after="120"/>
        <w:contextualSpacing/>
        <w:jc w:val="both"/>
        <w:rPr/>
      </w:pPr>
      <w:bookmarkStart w:id="59" w:name="_Hlk48209615"/>
      <w:bookmarkEnd w:id="59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Генподрядчик</w:t>
      </w:r>
      <w:r>
        <w:rPr>
          <w:iCs/>
          <w:sz w:val="24"/>
          <w:szCs w:val="24"/>
        </w:rPr>
        <w:t xml:space="preserve"> предоставляет субподрядчику на время производства работ безвозмездно: </w:t>
      </w:r>
    </w:p>
    <w:p>
      <w:pPr>
        <w:pStyle w:val="ListParagraph"/>
        <w:widowControl w:val="false"/>
        <w:tabs>
          <w:tab w:val="clear" w:pos="708"/>
          <w:tab w:val="left" w:pos="426" w:leader="none"/>
        </w:tabs>
        <w:spacing w:before="0" w:after="120"/>
        <w:ind w:left="360" w:hanging="0"/>
        <w:contextualSpacing/>
        <w:jc w:val="both"/>
        <w:rPr/>
      </w:pPr>
      <w:r>
        <w:rPr>
          <w:rFonts w:eastAsia="Times New Roman"/>
          <w:iCs/>
        </w:rPr>
        <w:t>1. Следующие виды ресурсов:</w:t>
      </w:r>
    </w:p>
    <w:p>
      <w:pPr>
        <w:pStyle w:val="ListParagraph"/>
        <w:widowControl w:val="false"/>
        <w:numPr>
          <w:ilvl w:val="1"/>
          <w:numId w:val="12"/>
        </w:numPr>
        <w:tabs>
          <w:tab w:val="clear" w:pos="708"/>
          <w:tab w:val="left" w:pos="426" w:leader="none"/>
        </w:tabs>
        <w:spacing w:before="0" w:after="120"/>
        <w:contextualSpacing/>
        <w:jc w:val="both"/>
        <w:rPr/>
      </w:pPr>
      <w:r>
        <w:rPr>
          <w:rFonts w:eastAsia="Times New Roman"/>
          <w:iCs/>
        </w:rPr>
        <w:t>Электроэнергия;</w:t>
      </w:r>
    </w:p>
    <w:p>
      <w:pPr>
        <w:pStyle w:val="ListParagraph"/>
        <w:widowControl w:val="false"/>
        <w:numPr>
          <w:ilvl w:val="1"/>
          <w:numId w:val="12"/>
        </w:numPr>
        <w:tabs>
          <w:tab w:val="clear" w:pos="708"/>
          <w:tab w:val="left" w:pos="426" w:leader="none"/>
        </w:tabs>
        <w:spacing w:before="0" w:after="120"/>
        <w:contextualSpacing/>
        <w:jc w:val="both"/>
        <w:rPr/>
      </w:pPr>
      <w:r>
        <w:rPr>
          <w:rFonts w:eastAsia="Times New Roman"/>
          <w:iCs/>
        </w:rPr>
        <w:t>Вода.</w:t>
      </w:r>
    </w:p>
    <w:p>
      <w:pPr>
        <w:pStyle w:val="ListParagraph"/>
        <w:widowControl w:val="false"/>
        <w:tabs>
          <w:tab w:val="clear" w:pos="708"/>
          <w:tab w:val="left" w:pos="426" w:leader="none"/>
        </w:tabs>
        <w:spacing w:before="0" w:after="120"/>
        <w:ind w:left="360" w:hanging="0"/>
        <w:contextualSpacing/>
        <w:jc w:val="both"/>
        <w:rPr/>
      </w:pPr>
      <w:r>
        <w:rPr>
          <w:iCs/>
        </w:rPr>
        <w:t>2. Помещения для размещения персонала и складирования материалов.</w:t>
      </w:r>
    </w:p>
    <w:p>
      <w:pPr>
        <w:pStyle w:val="Normal"/>
        <w:rPr>
          <w:iCs/>
          <w:sz w:val="2"/>
          <w:szCs w:val="24"/>
        </w:rPr>
      </w:pPr>
      <w:r>
        <w:rPr>
          <w:iCs/>
          <w:sz w:val="2"/>
          <w:szCs w:val="24"/>
        </w:rPr>
      </w:r>
      <w:bookmarkStart w:id="60" w:name="_Hlk48209761"/>
      <w:bookmarkStart w:id="61" w:name="_Hlk482096151"/>
      <w:bookmarkStart w:id="62" w:name="_Hlk48209761"/>
      <w:bookmarkStart w:id="63" w:name="_Hlk482096151"/>
      <w:bookmarkEnd w:id="62"/>
      <w:bookmarkEnd w:id="63"/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</w:r>
      <w:r>
        <w:br w:type="page"/>
      </w:r>
    </w:p>
    <w:p>
      <w:pPr>
        <w:pStyle w:val="Heading1"/>
        <w:numPr>
          <w:ilvl w:val="0"/>
          <w:numId w:val="3"/>
        </w:numPr>
        <w:ind w:left="0" w:hanging="0"/>
        <w:jc w:val="center"/>
        <w:rPr/>
      </w:pPr>
      <w:bookmarkStart w:id="64" w:name="__RefHeading___Toc31034_2759022566"/>
      <w:bookmarkStart w:id="65" w:name="_Toc125123771"/>
      <w:bookmarkStart w:id="66" w:name="_Toc51921656"/>
      <w:bookmarkEnd w:id="64"/>
      <w:r>
        <w:rPr/>
        <w:t>Требования к продукции</w:t>
      </w:r>
      <w:bookmarkEnd w:id="65"/>
      <w:bookmarkEnd w:id="66"/>
    </w:p>
    <w:p>
      <w:pPr>
        <w:pStyle w:val="Heading4"/>
        <w:numPr>
          <w:ilvl w:val="1"/>
          <w:numId w:val="3"/>
        </w:numPr>
        <w:ind w:left="709" w:hanging="709"/>
        <w:rPr/>
      </w:pPr>
      <w:bookmarkStart w:id="67" w:name="__RefHeading___Toc31036_2759022566"/>
      <w:bookmarkStart w:id="68" w:name="_Toc125123772"/>
      <w:bookmarkEnd w:id="67"/>
      <w:r>
        <w:rPr/>
        <w:t>Требования к объемам и срокам выполнения работ</w:t>
      </w:r>
      <w:bookmarkEnd w:id="68"/>
    </w:p>
    <w:p>
      <w:pPr>
        <w:pStyle w:val="Heading3"/>
        <w:numPr>
          <w:ilvl w:val="2"/>
          <w:numId w:val="3"/>
        </w:numPr>
        <w:ind w:left="709" w:hanging="709"/>
        <w:rPr/>
      </w:pPr>
      <w:bookmarkStart w:id="69" w:name="__RefHeading___Toc31038_2759022566"/>
      <w:bookmarkStart w:id="70" w:name="_Toc125123773"/>
      <w:bookmarkStart w:id="71" w:name="_Toc51921657"/>
      <w:bookmarkEnd w:id="69"/>
      <w:r>
        <w:rPr/>
        <w:t>Требования к видам и объемам работ</w:t>
      </w:r>
      <w:bookmarkEnd w:id="70"/>
      <w:bookmarkEnd w:id="71"/>
    </w:p>
    <w:p>
      <w:pPr>
        <w:pStyle w:val="Style27"/>
        <w:numPr>
          <w:ilvl w:val="0"/>
          <w:numId w:val="0"/>
        </w:numPr>
        <w:ind w:left="0" w:hanging="0"/>
        <w:jc w:val="left"/>
        <w:outlineLvl w:val="0"/>
        <w:rPr/>
      </w:pPr>
      <w:bookmarkStart w:id="72" w:name="__RefHeading___Toc31040_2759022566"/>
      <w:bookmarkStart w:id="73" w:name="_Toc125123774"/>
      <w:bookmarkStart w:id="74" w:name="_Toc51921658"/>
      <w:bookmarkStart w:id="75" w:name="_Toc35351358"/>
      <w:bookmarkEnd w:id="72"/>
      <w:r>
        <w:rPr/>
        <w:t>Таблица</w:t>
      </w:r>
      <w:r>
        <w:rPr>
          <w:lang w:val="ru-RU"/>
        </w:rPr>
        <w:t> 2</w:t>
      </w:r>
      <w:r>
        <w:rPr/>
        <w:t xml:space="preserve">. </w:t>
      </w:r>
      <w:bookmarkEnd w:id="75"/>
      <w:r>
        <w:rPr>
          <w:lang w:val="ru-RU"/>
        </w:rPr>
        <w:t>Перечень и объем выполняемых работ</w:t>
      </w:r>
      <w:bookmarkEnd w:id="73"/>
      <w:bookmarkEnd w:id="74"/>
    </w:p>
    <w:tbl>
      <w:tblPr>
        <w:tblW w:w="9698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738"/>
        <w:gridCol w:w="4111"/>
        <w:gridCol w:w="2697"/>
        <w:gridCol w:w="2151"/>
      </w:tblGrid>
      <w:tr>
        <w:trPr/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>
        <w:trPr/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3"/>
              </w:numPr>
              <w:rPr>
                <w:i/>
                <w:i/>
                <w:iCs/>
              </w:rPr>
            </w:pPr>
            <w:r>
              <w:rPr>
                <w:i/>
                <w:iCs/>
              </w:rPr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>ОКПД2 42.11.10.120 Выполнение работ на восстановление асфальтобетонного покрытия автодороги и площадок Волжской ГЭС</w:t>
            </w:r>
          </w:p>
        </w:tc>
        <w:tc>
          <w:tcPr>
            <w:tcW w:w="4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iCs/>
                <w:sz w:val="24"/>
                <w:szCs w:val="24"/>
              </w:rPr>
              <w:t>В соответствии с ведомостью объемов работ (Приложение №1 к настоящим Техническим требованиям)</w:t>
            </w:r>
          </w:p>
        </w:tc>
      </w:tr>
    </w:tbl>
    <w:p>
      <w:pPr>
        <w:pStyle w:val="Style27"/>
        <w:numPr>
          <w:ilvl w:val="0"/>
          <w:numId w:val="0"/>
        </w:numPr>
        <w:ind w:left="0" w:hanging="0"/>
        <w:jc w:val="left"/>
        <w:outlineLvl w:val="0"/>
        <w:rPr>
          <w:lang w:val="ru-RU"/>
        </w:rPr>
      </w:pPr>
      <w:r>
        <w:rPr>
          <w:lang w:val="ru-RU"/>
        </w:rPr>
      </w:r>
    </w:p>
    <w:p>
      <w:pPr>
        <w:pStyle w:val="Heading3"/>
        <w:numPr>
          <w:ilvl w:val="2"/>
          <w:numId w:val="3"/>
        </w:numPr>
        <w:ind w:left="709" w:hanging="709"/>
        <w:rPr/>
      </w:pPr>
      <w:bookmarkStart w:id="76" w:name="__RefHeading___Toc31042_2759022566"/>
      <w:bookmarkStart w:id="77" w:name="_Toc51921659"/>
      <w:bookmarkStart w:id="78" w:name="_Toc125123775"/>
      <w:bookmarkEnd w:id="76"/>
      <w:r>
        <w:rPr/>
        <w:t>Требования к срокам выполнения работ</w:t>
      </w:r>
      <w:bookmarkStart w:id="79" w:name="_Toc51921660"/>
      <w:bookmarkEnd w:id="77"/>
      <w:bookmarkEnd w:id="78"/>
    </w:p>
    <w:p>
      <w:pPr>
        <w:pStyle w:val="Style27"/>
        <w:numPr>
          <w:ilvl w:val="0"/>
          <w:numId w:val="0"/>
        </w:numPr>
        <w:ind w:left="0" w:hanging="0"/>
        <w:jc w:val="left"/>
        <w:outlineLvl w:val="0"/>
        <w:rPr/>
      </w:pPr>
      <w:bookmarkStart w:id="80" w:name="__RefHeading___Toc31044_2759022566"/>
      <w:bookmarkStart w:id="81" w:name="_Toc125123776"/>
      <w:bookmarkEnd w:id="80"/>
      <w:r>
        <w:rPr/>
        <w:t>Таблица 3. Требования по срокам выполнения работ</w:t>
      </w:r>
      <w:bookmarkEnd w:id="79"/>
      <w:bookmarkEnd w:id="81"/>
    </w:p>
    <w:tbl>
      <w:tblPr>
        <w:tblW w:w="9747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846"/>
        <w:gridCol w:w="4932"/>
        <w:gridCol w:w="1927"/>
        <w:gridCol w:w="2041"/>
      </w:tblGrid>
      <w:tr>
        <w:trPr/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п/п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2"/>
                <w:szCs w:val="22"/>
              </w:rPr>
              <w:t>Наименование работ/ этапа работ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8"/>
              <w:keepNext w:val="false"/>
              <w:widowControl w:val="false"/>
              <w:spacing w:before="40" w:after="40"/>
              <w:jc w:val="center"/>
              <w:rPr/>
            </w:pPr>
            <w:r>
              <w:rPr>
                <w:szCs w:val="22"/>
              </w:rPr>
              <w:t>Требования к началу срока выполнения работ/ этапа работ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8"/>
              <w:keepNext w:val="false"/>
              <w:widowControl w:val="false"/>
              <w:spacing w:before="40" w:after="40"/>
              <w:jc w:val="center"/>
              <w:rPr/>
            </w:pPr>
            <w:r>
              <w:rPr>
                <w:szCs w:val="22"/>
              </w:rPr>
              <w:t>Требования к окончанию срока выполнения работ / этапа работ</w:t>
            </w:r>
          </w:p>
        </w:tc>
      </w:tr>
      <w:tr>
        <w:trPr/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</w:tr>
      <w:tr>
        <w:trPr/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10"/>
              </w:numPr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>ОКПД2 42.11.10.120 Выполнение работ на восстановление асфальтобетонного покрытия автодороги и площадок Волжской ГЭС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Не позднее 30.09.2026г. с даты подписания договора.</w:t>
            </w:r>
          </w:p>
        </w:tc>
      </w:tr>
      <w:tr>
        <w:trPr/>
        <w:tc>
          <w:tcPr>
            <w:tcW w:w="974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ind w:left="360" w:hanging="0"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</w:r>
          </w:p>
        </w:tc>
      </w:tr>
    </w:tbl>
    <w:p>
      <w:pPr>
        <w:sectPr>
          <w:headerReference w:type="even" r:id="rId2"/>
          <w:headerReference w:type="default" r:id="rId3"/>
          <w:headerReference w:type="first" r:id="rId4"/>
          <w:type w:val="nextPage"/>
          <w:pgSz w:w="11906" w:h="16838"/>
          <w:pgMar w:left="1134" w:right="851" w:gutter="0" w:header="680" w:top="1134" w:footer="0" w:bottom="992"/>
          <w:pgNumType w:fmt="decimal"/>
          <w:formProt w:val="false"/>
          <w:titlePg/>
          <w:textDirection w:val="lrTb"/>
          <w:docGrid w:type="default" w:linePitch="360" w:charSpace="0"/>
        </w:sectPr>
      </w:pPr>
    </w:p>
    <w:p>
      <w:pPr>
        <w:pStyle w:val="Heading4"/>
        <w:numPr>
          <w:ilvl w:val="1"/>
          <w:numId w:val="3"/>
        </w:numPr>
        <w:spacing w:before="240" w:after="60"/>
        <w:ind w:left="431" w:hanging="431"/>
        <w:rPr/>
      </w:pPr>
      <w:bookmarkStart w:id="82" w:name="__RefHeading___Toc31046_2759022566"/>
      <w:bookmarkStart w:id="83" w:name="_Toc125123777"/>
      <w:bookmarkEnd w:id="82"/>
      <w:r>
        <w:rPr/>
        <w:t>Требования к качеству работ</w:t>
      </w:r>
      <w:bookmarkEnd w:id="83"/>
    </w:p>
    <w:p>
      <w:pPr>
        <w:pStyle w:val="Style27"/>
        <w:numPr>
          <w:ilvl w:val="0"/>
          <w:numId w:val="0"/>
        </w:numPr>
        <w:spacing w:before="60" w:after="120"/>
        <w:ind w:left="0" w:hanging="0"/>
        <w:contextualSpacing/>
        <w:jc w:val="left"/>
        <w:outlineLvl w:val="0"/>
        <w:rPr/>
      </w:pPr>
      <w:bookmarkStart w:id="84" w:name="__RefHeading___Toc31048_2759022566"/>
      <w:bookmarkStart w:id="85" w:name="_Toc51921661"/>
      <w:bookmarkStart w:id="86" w:name="_Toc125123778"/>
      <w:bookmarkEnd w:id="84"/>
      <w:r>
        <w:rPr/>
        <w:t>Таблица 4. Требования к качеству работ</w:t>
      </w:r>
      <w:bookmarkEnd w:id="85"/>
      <w:bookmarkEnd w:id="86"/>
      <w:r>
        <w:rPr/>
        <w:t xml:space="preserve"> </w:t>
      </w:r>
    </w:p>
    <w:p>
      <w:pPr>
        <w:pStyle w:val="Normal"/>
        <w:rPr/>
      </w:pPr>
      <w:r>
        <w:rPr>
          <w:b/>
          <w:sz w:val="24"/>
          <w:szCs w:val="24"/>
        </w:rPr>
        <w:t xml:space="preserve">Наименование работ/этапа работ: </w:t>
      </w:r>
      <w:r>
        <w:rPr>
          <w:iCs/>
          <w:sz w:val="24"/>
          <w:szCs w:val="24"/>
        </w:rPr>
        <w:t>ОКПД2 42.11.10.120 Выполнение работ на восстановление асфальтобетонного покрытия автодороги и площадок Волжской ГЭС</w:t>
      </w:r>
    </w:p>
    <w:p>
      <w:pPr>
        <w:pStyle w:val="Normal"/>
        <w:rPr/>
      </w:pPr>
      <w:r>
        <w:rPr>
          <w:sz w:val="24"/>
          <w:szCs w:val="24"/>
        </w:rPr>
        <w:t xml:space="preserve"> </w:t>
      </w:r>
    </w:p>
    <w:tbl>
      <w:tblPr>
        <w:tblStyle w:val="affff7"/>
        <w:tblW w:w="14738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18"/>
        <w:gridCol w:w="883"/>
        <w:gridCol w:w="10262"/>
        <w:gridCol w:w="1875"/>
        <w:gridCol w:w="1300"/>
      </w:tblGrid>
      <w:tr>
        <w:trPr/>
        <w:tc>
          <w:tcPr>
            <w:tcW w:w="418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п/п</w:t>
            </w:r>
          </w:p>
        </w:tc>
        <w:tc>
          <w:tcPr>
            <w:tcW w:w="883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10262" w:type="dxa"/>
            <w:vMerge w:val="restart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Требование заказчика</w:t>
            </w:r>
          </w:p>
        </w:tc>
        <w:tc>
          <w:tcPr>
            <w:tcW w:w="317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</w:tr>
      <w:tr>
        <w:trPr>
          <w:trHeight w:val="234" w:hRule="atLeast"/>
        </w:trPr>
        <w:tc>
          <w:tcPr>
            <w:tcW w:w="418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center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883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10262" w:type="dxa"/>
            <w:vMerge w:val="continue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1875" w:type="dxa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Согласие с требованием/ указание характеристик</w:t>
            </w:r>
          </w:p>
        </w:tc>
        <w:tc>
          <w:tcPr>
            <w:tcW w:w="1300" w:type="dxa"/>
            <w:tcBorders/>
            <w:vAlign w:val="center"/>
          </w:tcPr>
          <w:p>
            <w:pPr>
              <w:pStyle w:val="Normal"/>
              <w:widowControl w:val="fals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>
          <w:trHeight w:val="234" w:hRule="atLeast"/>
        </w:trPr>
        <w:tc>
          <w:tcPr>
            <w:tcW w:w="418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883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10262" w:type="dxa"/>
            <w:tcBorders>
              <w:top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3</w:t>
            </w:r>
          </w:p>
        </w:tc>
        <w:tc>
          <w:tcPr>
            <w:tcW w:w="1875" w:type="dxa"/>
            <w:tcBorders>
              <w:top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130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</w:tr>
      <w:tr>
        <w:trPr/>
        <w:tc>
          <w:tcPr>
            <w:tcW w:w="418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1145" w:type="dxa"/>
            <w:gridSpan w:val="2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Требования к выполнению работ</w:t>
            </w:r>
          </w:p>
        </w:tc>
        <w:tc>
          <w:tcPr>
            <w:tcW w:w="1875" w:type="dxa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3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533" w:hRule="atLeast"/>
        </w:trPr>
        <w:tc>
          <w:tcPr>
            <w:tcW w:w="418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bCs/>
                <w:i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</w:r>
          </w:p>
        </w:tc>
        <w:tc>
          <w:tcPr>
            <w:tcW w:w="11145" w:type="dxa"/>
            <w:gridSpan w:val="2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Общие требования к выполнению работ</w:t>
            </w:r>
          </w:p>
        </w:tc>
        <w:tc>
          <w:tcPr>
            <w:tcW w:w="1875" w:type="dxa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left"/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3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418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W w:w="883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Соблюдение при выполнении работ федеральных законов, норм и правил нормативно-технических документов</w:t>
            </w:r>
          </w:p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contextualSpacing/>
              <w:jc w:val="left"/>
              <w:outlineLvl w:val="2"/>
              <w:rPr>
                <w:rFonts w:ascii="Times New Roman" w:hAnsi="Times New Roman"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0262" w:type="dxa"/>
            <w:tcBorders>
              <w:right w:val="nil"/>
            </w:tcBorders>
            <w:shd w:color="auto" w:fill="auto" w:val="clea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При выполнении работ  Субподрядчик должен руководствоваться, но не ограничиваться, следующими национальными, отраслевыми и корпоративными НТД: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        ◦ </w:t>
            </w: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Правила по охране труда при работе с инструментом и приспособлениями (утверждены приказом Минтруда России от 27.11.2020 №835н) (в действующей редакции);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        ◦ </w:t>
            </w: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Правила по охране труда при погрузочно-разгрузочных работах и размещении грузов (утверждены приказом Минтруда и социальной защиты РФ от 128.10.2020г. № 753н);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        ◦ </w:t>
            </w: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СТО РусГидро 05.02.126-2020 ПОБО ГТСиГМО;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        ◦  </w:t>
            </w: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Правила по охране труда при размещении, монтаже, техническом обслуживании и ремонте технологического оборудования (приказ Минтруда России от 27.11.2020 N 833н).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        ◦ </w:t>
            </w: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Правила пожарной безопасности для энергетических предприятий РД 153-34.0-03.301-00,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        ◦ </w:t>
            </w: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Правила противопожарного режима в Российской Федерации от 16.09.2020г постановление Правительства РФ №1479 (в действующей редакции);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        ◦ </w:t>
            </w: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Правила по охране труда в строительстве, реконструкции и ремонте (утверждены приказом Минтруда России от 11.12.2020 №883н), (в действующей редакции);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        ◦ </w:t>
            </w: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СП 78.13330.2012 «Автомобильные дороги» (в действующей редакции);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        ◦ </w:t>
            </w: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Нормативно-техническая документация (инструкции) Филиала ПАО «РусГидро» - «Волжская ГЭС им. Ф.Г. Логинова» (по требованию);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        ◦ </w:t>
            </w: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Политика Группы РусГидро в области охраны труда (Приложение №3 к ТТ);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        ◦ </w:t>
            </w: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Экологическая политика Группы РусГидро (Приложение №4 к ТТ);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        ◦ </w:t>
            </w: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Федеральный закон №7 от 10.01.2002г. «Об охране окружающей среды» (в действующей редакции);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        ◦ </w:t>
            </w: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Федеральный закон №89 от 24.06.1998г. «Об отходах производства и потребления» (в действующей редакции);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        ◦ </w:t>
            </w: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Федеральный закон №96 от 04.05.1999г. «Об охране атмосферного воздуха» (в действующей редакции);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        ◦ </w:t>
            </w: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Федеральный закон №52 от 30.03.1999г. «О санитарно-эпидемиологическом благополучии населения» (в действующей редакции);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Федеральный закон №74 от 03.06.2006г. «Водный кодекс Российской федерации» (в действующей редакции);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Федеральный закон №99 от 04.05.2011г. «О лицензировании отдельных видов деятельности» (в действующей редакции);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        ◦ </w:t>
            </w: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СанПин 2.1.3684-21 "Санитарноэпидемиологические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 (в действующей редакции).</w:t>
            </w:r>
          </w:p>
        </w:tc>
        <w:tc>
          <w:tcPr>
            <w:tcW w:w="1875" w:type="dxa"/>
            <w:tcBorders>
              <w:right w:val="nil"/>
            </w:tcBorders>
            <w:shd w:color="auto" w:fill="auto" w:val="clea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Согласие с требованием</w:t>
            </w:r>
          </w:p>
        </w:tc>
        <w:tc>
          <w:tcPr>
            <w:tcW w:w="1300" w:type="dxa"/>
            <w:tcBorders/>
            <w:shd w:color="auto" w:fill="auto" w:val="clea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iCs/>
              </w:rPr>
            </w:pPr>
            <w:r>
              <w:rPr>
                <w:iCs/>
              </w:rPr>
            </w:r>
          </w:p>
        </w:tc>
      </w:tr>
      <w:tr>
        <w:trPr/>
        <w:tc>
          <w:tcPr>
            <w:tcW w:w="418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W w:w="88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Особые условия выполнения работ</w:t>
            </w:r>
          </w:p>
        </w:tc>
        <w:tc>
          <w:tcPr>
            <w:tcW w:w="10262" w:type="dxa"/>
            <w:tcBorders>
              <w:top w:val="nil"/>
              <w:right w:val="nil"/>
            </w:tcBorders>
            <w:shd w:color="auto" w:fill="auto" w:val="clea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Производство ремонтно-строительных работ осуществляется на территории действующего предприятия с наличием в зоне производства работ разветвленной сети транспортных и инженерных коммуникаций.</w:t>
            </w:r>
          </w:p>
        </w:tc>
        <w:tc>
          <w:tcPr>
            <w:tcW w:w="1875" w:type="dxa"/>
            <w:tcBorders>
              <w:top w:val="nil"/>
              <w:right w:val="nil"/>
            </w:tcBorders>
            <w:shd w:color="auto" w:fill="auto" w:val="clea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Согласие с требованием</w:t>
            </w:r>
          </w:p>
        </w:tc>
        <w:tc>
          <w:tcPr>
            <w:tcW w:w="1300" w:type="dxa"/>
            <w:tcBorders>
              <w:top w:val="nil"/>
            </w:tcBorders>
            <w:shd w:color="auto" w:fill="auto" w:val="clea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iCs/>
              </w:rPr>
            </w:pPr>
            <w:r>
              <w:rPr>
                <w:iCs/>
              </w:rPr>
            </w:r>
          </w:p>
        </w:tc>
      </w:tr>
      <w:tr>
        <w:trPr/>
        <w:tc>
          <w:tcPr>
            <w:tcW w:w="418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W w:w="88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Требования к безопасности производства работ</w:t>
            </w:r>
          </w:p>
        </w:tc>
        <w:tc>
          <w:tcPr>
            <w:tcW w:w="10262" w:type="dxa"/>
            <w:tcBorders>
              <w:top w:val="nil"/>
              <w:right w:val="nil"/>
            </w:tcBorders>
            <w:shd w:color="auto" w:fill="auto" w:val="clea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Субподрядчик должен соблюдать требования действующего федерального законодательства Российской Федерации, нормативных правовых актов субъектов Российской Федерации, в т.ч. законодательство об охране окружающей среды, промышленной и пожарной безопасности, охране труда, энергоэффективности, рационального использования природных ресурсов и полезных ископаемых, а также все прочие законы и нормативные акты, относящиеся к сфере деятельности.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Субподрядчик обязан направлять на объекты заказчика работников, обученных правилам безопасного выполнения работ и имеющих все необходимые допуски к выполнению работ, а также представлять документы на русском языке, подтверждающие аттестацию работников на проведение соответствующих видов работ.</w:t>
            </w:r>
          </w:p>
        </w:tc>
        <w:tc>
          <w:tcPr>
            <w:tcW w:w="1875" w:type="dxa"/>
            <w:tcBorders>
              <w:top w:val="nil"/>
              <w:right w:val="nil"/>
            </w:tcBorders>
            <w:shd w:color="auto" w:fill="auto" w:val="clea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Согласие с требованием</w:t>
            </w:r>
          </w:p>
        </w:tc>
        <w:tc>
          <w:tcPr>
            <w:tcW w:w="1300" w:type="dxa"/>
            <w:tcBorders>
              <w:top w:val="nil"/>
            </w:tcBorders>
            <w:shd w:color="auto" w:fill="auto" w:val="clea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iCs/>
              </w:rPr>
            </w:pPr>
            <w:r>
              <w:rPr>
                <w:iCs/>
              </w:rPr>
            </w:r>
          </w:p>
        </w:tc>
      </w:tr>
      <w:tr>
        <w:trPr/>
        <w:tc>
          <w:tcPr>
            <w:tcW w:w="418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W w:w="88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Требования к соблюдению природоохранного законодательства.</w:t>
            </w:r>
          </w:p>
        </w:tc>
        <w:tc>
          <w:tcPr>
            <w:tcW w:w="10262" w:type="dxa"/>
            <w:tcBorders>
              <w:top w:val="nil"/>
              <w:right w:val="nil"/>
            </w:tcBorders>
            <w:shd w:color="auto" w:fill="auto" w:val="clea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При выполнении работ Субподрядчик должен: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    • </w:t>
            </w: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Иметь Лицензию на осуществление деятельности по сбору, транспортированию, обработке, утилизации, обезвреживанию, размещению отходов I - IV классов опасности (за исключением случаев, если сбор отходов 1-4 классов опасности осуществляется не по месту их обработки, и (или) утилизации, и (или) обезвреживания, и (или) (размещения) или договора с организацией, имеющей данную лицензию. Указанная выше Лицензия предоставляется Субподрядчиком Генподрядчику только при наличии работ, связанных со сбором, транспортированием, обработкой, утилизацией, обезвреживанием, размещением отходов 1-4 классов опасности (в случае наличия данных требований в ведомостях объемов работ).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    •  </w:t>
            </w: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Назначить ответственных лиц за соблюдение требований природоохранного законодательства при выполнении работ на территории Генподрядчика, в том числе и за обращение с отходами;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    • </w:t>
            </w: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Лица, назначенные приказом ответственными за обращение с отходами, должны иметь свидетельства/удостоверения на право работы с отходами 1-4 классов опасности. Ответственность за допуск работников к работе с отходами I-IV класса опасности несет соответствующее должностное лицо Генподрядчика.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    • </w:t>
            </w: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Предоставить до заключения договора копию приказа о назначении ответственных лиц за соблюдение требований природоохранного законодательства при выполнении работ на территории Генподрядчика.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Образовавшиеся в процессе выполнении работ отходы Субподрядчик временно накапливает в месте выполнения работ, в установленные им для каждой категории отходов отдельные промаркированные контейнеры, в соответствии с санитарными требованиями и требованиями в области охраны окружающей среды к накоплению отходов, установленными законодательством Российской Федерации.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  </w:t>
            </w: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При выполнении работ Субподрядчик обязан: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    • </w:t>
            </w: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Установить для каждой категории отходов отдельные промаркированные контейнеры, емкости (принадлежность, вместимость, классы опасности отходов), на место, согласованное с Генподрядчиком; Для промасленной ветоши, обтирочных материалов должны быть установлены отдельные промаркированные контейнеры из негорючего материала с закрывающейся крышкой (ст. 37 ФЗ «О пожарной безопасности»; п.19 «Правил противопожарного режима в РФ», утвержденных Постановлением Правительства РФ от 16.09.2020 №1479).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    • </w:t>
            </w: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Производить раздельное накопление отходов по видам (производственные отходы, промасленная ветошь, отработанное масло и др.). в промаркированные контейнеры и емкости.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    • </w:t>
            </w: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Накапливать отходы производства от выполнения работ в местах, согласованных с Генподрядчиком, в промаркированные контейнеры, емкости в соответствии с санитарными требованиями и требованиями в области охраны окружающей среды к накоплению отходов, установленными законодательством Российской Федерации.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Не допускать складирование и временное накопление отходов на непредназначенной для этих целей территории.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При необходимости перемещения, накопленных на месте выполнения работ отходов – лома металлов (собственником которых является Заказчик), в указанные Генподрядчиком места накопления отходов на его территории, осуществляется Субподрядчиком за счет собственных сил и средств.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    • </w:t>
            </w: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Право собственности на отходы, образующиеся при выполнении работ из материалов Субподрядчика, являются собственностью Субподрядчика.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    • </w:t>
            </w: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Вывоз отходов, собственником которых является Субподрядчик осуществляется Субподрядчиком своевременно, по своим документам (паспортам), за счет собственных сил и средств.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    • </w:t>
            </w: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Иметь в наличие специальные транспортные средства (собственные или арендованные) для транспортировки отходов 4-5 класса опасности на специализированный полигон для размещения. В случае, если транспорт арендованный, представить копию договора на транспортировку отходов, в котором должна быть предусмотрена ответственность подрядной организации за транспортировку отходов на специализированный полигон для размещения.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    • </w:t>
            </w: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Вести учет образовавшихся отходов, Субподрядчика, Генподрядчика, данные учета предоставлять техническому куратору по договору ежемесячно до 10 числа месяца, следующего за отчетным в виде официальной справки с приложением копий подтверждающих документов с отметкой полигона;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    • </w:t>
            </w: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Выполнять требования природоохранного законодательства в сфере обращения с отходами, соблюдать принцип раздельного складирования отходов в контейнеры по видам отходов.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    • </w:t>
            </w: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Обеспечивать за свой счет и собственными силами вывоз тары и упаковки (картонные коробки, деревянные барабаны) из-под нового оборудования и комплектующих для утилизации (вторичного использования) Субподрядчиком;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    • </w:t>
            </w: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Обеспечивать за свой счет и собственными силами перемещение образовавшихся отходов кабельной продукции и лома черных металлов на место, указанное Генподрядчиком (на расстояние до 1 км.).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    • </w:t>
            </w: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В случае образования отработанного масла, осуществлять его передачу в центральное маслохозяйство Генподрядчика на основании актов, согласованных с техническим куратором по договору, с последующим предоставлением актов Генподрядчику (тех. куратору по договору).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    • </w:t>
            </w: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Право собственности на отходы, образующиеся из давальческих материалов, отходы черных, цветных металлов, отработанных масел, а также отходы образующиеся от оборудования, зданий, строений, сооружений Генподрядчика, принадлежат Генподрядчику.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    • </w:t>
            </w: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Субподрядчик накапливает отходы Генподрядчика в собственной таре, соответствующей требованиям санитарного и экологического законодательств.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    • </w:t>
            </w: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Не допускается накопление отходов сверх объема, который вмещает место накопления отходов.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    • </w:t>
            </w: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Отходы, образующиеся в результате деятельности Субподрядчика, в том числе отходы, образующиеся в процессе административно-хозяйственной деятельности персонала Субподрядчика на территории Филиала, являются собственностью Субподрядчика. Деятельность по обращению с такими отходами, а также связанная с этим ответственность, является обязанностью Субподрядчика.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    • </w:t>
            </w: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Соблюдать режим использования водоохранных зон и прибрежных защитных полос, в соответствие со ст. 65 Водного кодекса РФ от 03.06.2006г. № 74-ФЗ;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    • </w:t>
            </w: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Соблюдать требования пожарной безопасности при обращении с отходами, установленные ФЗ «О пожарной безопасности» (ст. 37) и Правилами противопожарного режима в РФ, утвержденными Постановлением Правительства РФ от 16.09.2020 №1479.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    • </w:t>
            </w: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Соблюдать экологические требования в области обращения с отходами, отраженные в ст.51 ФЗ № 7 «Об охране окружающей среды», ст. 18 ФЗ № 96 «Об охране атмосферного воздуха»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    • </w:t>
            </w: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Соблюдать санитарные требования при обращении с отходами, установленные в ст. 22 ФЗ № 52-ФЗ от 30.03.1999 г. «О санитарно-эпидемиологическом благополучии населения» и СанПин 2.1.3684-21.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    • </w:t>
            </w: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Соблюдать Экологическую политику Группы «РусГидро» (Приложение № 4);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    • </w:t>
            </w: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Накопление и транспортировка отходов на специализированный полигон должны производиться Субподрядчиком в соответствии с санитарными требованиями и требованиями в области охраны окружающей среды к обращению с отходами, установленных законодательством Российской Федерации, собственными силами и за свой счет.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    • </w:t>
            </w: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Ответственность за надлежащее состояние мест накопления отходов, тары для накопления, своевременный вывоз отходов несет Субподрядчик.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    • </w:t>
            </w: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По окончании работ рабочие места должны быть сданы техническому куратору по договору с оформлением акта-приемки рабочего места (проверяются уборка, чистота и порядок, отсутствие отходов производства).</w:t>
            </w:r>
          </w:p>
        </w:tc>
        <w:tc>
          <w:tcPr>
            <w:tcW w:w="1875" w:type="dxa"/>
            <w:tcBorders>
              <w:top w:val="nil"/>
              <w:right w:val="nil"/>
            </w:tcBorders>
            <w:shd w:color="auto" w:fill="auto" w:val="clea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Согласие с требованием</w:t>
            </w:r>
          </w:p>
        </w:tc>
        <w:tc>
          <w:tcPr>
            <w:tcW w:w="1300" w:type="dxa"/>
            <w:tcBorders>
              <w:top w:val="nil"/>
            </w:tcBorders>
            <w:shd w:color="auto" w:fill="auto" w:val="clea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iCs/>
              </w:rPr>
            </w:pPr>
            <w:r>
              <w:rPr>
                <w:iCs/>
              </w:rPr>
            </w:r>
          </w:p>
        </w:tc>
      </w:tr>
      <w:tr>
        <w:trPr>
          <w:trHeight w:val="512" w:hRule="atLeast"/>
        </w:trPr>
        <w:tc>
          <w:tcPr>
            <w:tcW w:w="418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W w:w="11145" w:type="dxa"/>
            <w:gridSpan w:val="2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Требования к организации работ</w:t>
            </w:r>
          </w:p>
        </w:tc>
        <w:tc>
          <w:tcPr>
            <w:tcW w:w="1875" w:type="dxa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contextualSpacing/>
              <w:jc w:val="left"/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3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contextualSpacing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41" w:hRule="atLeast"/>
        </w:trPr>
        <w:tc>
          <w:tcPr>
            <w:tcW w:w="418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W w:w="88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Организация производства работ</w:t>
            </w:r>
          </w:p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contextualSpacing/>
              <w:jc w:val="left"/>
              <w:outlineLvl w:val="2"/>
              <w:rPr>
                <w:rFonts w:ascii="Times New Roman" w:hAnsi="Times New Roman" w:eastAsia="Times New Roman" w:cs="Times New Roman"/>
                <w:b w:val="false"/>
                <w:iCs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Cs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0262" w:type="dxa"/>
            <w:tcBorders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  </w:t>
            </w: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Работы выполняются на выделенной территории по Акту-допуску, в соответствии с инструкцией №11 “О порядке производства строительно-монтажных работ”.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Работы выполняются в соответствии с НТД, указанными в п/п 1.1.1 данной таблицы.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Работы выполняются в соответствии утвержденным календарным графиком.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  </w:t>
            </w: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Обеспечение соблюдения требований охраны труда при проведении работ – технические и организационные возможности, комплектность персонала, безопасность производства работ должны соответствовать характеру выполненных работ.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При проведении работ организация Субподрядчика и все привлекаемые субподрядчики должны: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-соблюдать технологическую, производственную и трудовую дисциплину;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-соблюдать санитарно–эпидемиологические требования, требования охраны труда, пожарной безопасности, промышленной и экологической безопасности производственных объектов в электроэнергетике, установленные законодательно-правовыми актами и иными нормативными документами;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-использовать технологии и материалы, отвечающие установленным требованиям природоохранного и санитарно-эпидемиологического законодательства;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  </w:t>
            </w: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-производить своевременную (ежедневную) уборку рабочих мест.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-Инженерная подготовка и оборудование рабочей площадки, монтаж ограждений, переходов, лестниц и т.д. в соответствии с НТД на выполнение соответствующего вида ремонтных работ.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-Текущий контроль выполняемых работ должен включать в себя надзор за правильностью и последовательностью выполнения отдельных технологических операций.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-Приемочный контроль. Перечень этапов и видов работ, подлежащих приемке, должен быть согласован с Генподрядчиком.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Рабочие должны быть обеспечены сертифицированной спецодеждой, спецобувью и средствами индивидуальной защиты согласно Норм.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- Разработка Субодрядчиком проектов производства работ (ППР) и технологических карт (ТК), в том числе на работы с применением подъемных сооружений (ПС), или технологических карт на производство работ;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- Организация работ по согласованию ППР и ТК входит в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обязанности Субподрядчика.</w:t>
            </w:r>
          </w:p>
        </w:tc>
        <w:tc>
          <w:tcPr>
            <w:tcW w:w="1875" w:type="dxa"/>
            <w:tcBorders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30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728" w:hRule="atLeast"/>
        </w:trPr>
        <w:tc>
          <w:tcPr>
            <w:tcW w:w="418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W w:w="11145" w:type="dxa"/>
            <w:gridSpan w:val="2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  <w:tc>
          <w:tcPr>
            <w:tcW w:w="1875" w:type="dxa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contextualSpacing/>
              <w:jc w:val="left"/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3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contextualSpacing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418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W w:w="88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Требования к используемым материалам</w:t>
            </w:r>
          </w:p>
        </w:tc>
        <w:tc>
          <w:tcPr>
            <w:tcW w:w="1026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Качество применяемых материалов подтверждается паспортами и сертификатами качества.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Продукция должна быть новой не бывшей в употреблении, не должна быть восстановленной.</w:t>
            </w:r>
            <w:bookmarkStart w:id="87" w:name="_GoBack"/>
            <w:bookmarkEnd w:id="87"/>
          </w:p>
        </w:tc>
        <w:tc>
          <w:tcPr>
            <w:tcW w:w="1875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130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515" w:hRule="atLeast"/>
        </w:trPr>
        <w:tc>
          <w:tcPr>
            <w:tcW w:w="418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W w:w="11145" w:type="dxa"/>
            <w:gridSpan w:val="2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Требования к контролю качества работ и материалов</w:t>
            </w:r>
          </w:p>
        </w:tc>
        <w:tc>
          <w:tcPr>
            <w:tcW w:w="1875" w:type="dxa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300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295" w:hRule="atLeast"/>
        </w:trPr>
        <w:tc>
          <w:tcPr>
            <w:tcW w:w="418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W w:w="88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Контроль качества используемых запасных частей и материалов</w:t>
            </w:r>
          </w:p>
        </w:tc>
        <w:tc>
          <w:tcPr>
            <w:tcW w:w="1026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6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Субподрядчик должен обеспечить входной контроль поступающих материалов и запасных частей, включающий в себя проверку:</w:t>
            </w:r>
          </w:p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60"/>
              <w:ind w:left="170" w:hanging="170"/>
              <w:contextualSpacing w:val="false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наличия и надлежащего заполнения документа о качестве и соответствии приведенных в нем данных характеристикам, установленным в нормативном документе, регламентирующем технические требования к данной продукции.</w:t>
            </w:r>
          </w:p>
        </w:tc>
        <w:tc>
          <w:tcPr>
            <w:tcW w:w="1875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60"/>
              <w:contextualSpacing/>
              <w:jc w:val="left"/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30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60"/>
              <w:contextualSpacing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418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W w:w="11145" w:type="dxa"/>
            <w:gridSpan w:val="2"/>
            <w:tcBorders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Требования к персоналу субподрядчика</w:t>
            </w:r>
          </w:p>
        </w:tc>
        <w:tc>
          <w:tcPr>
            <w:tcW w:w="1875" w:type="dxa"/>
            <w:tcBorders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30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418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W w:w="883" w:type="dxa"/>
            <w:tcBorders/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contextualSpacing/>
              <w:jc w:val="left"/>
              <w:outlineLvl w:val="2"/>
              <w:rPr>
                <w:rFonts w:ascii="Times New Roman" w:hAnsi="Times New Roman"/>
                <w:sz w:val="22"/>
                <w:szCs w:val="22"/>
              </w:rPr>
            </w:pPr>
            <w:bookmarkStart w:id="88" w:name="__RefHeading___Toc31050_2759022566"/>
            <w:bookmarkStart w:id="89" w:name="_Toc125123779"/>
            <w:bookmarkEnd w:id="88"/>
            <w:r>
              <w:rPr>
                <w:rFonts w:eastAsia="Times New Roman" w:cs="Times New Roman"/>
                <w:b w:val="false"/>
                <w:iCs/>
                <w:kern w:val="0"/>
                <w:sz w:val="22"/>
                <w:szCs w:val="22"/>
                <w:lang w:val="ru-RU" w:eastAsia="ru-RU" w:bidi="ar-SA"/>
              </w:rPr>
              <w:t>Квалификация персонала подрядчика, привлекаемого к выполнению работ</w:t>
            </w:r>
            <w:bookmarkEnd w:id="89"/>
          </w:p>
        </w:tc>
        <w:tc>
          <w:tcPr>
            <w:tcW w:w="1026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До заключения договора представить протоколы проверки знаний по охране труда на всех исполнителей работ, оформленных согласно Постановления правительства РФ от 24.12.2021 № 2464 О порядке обучения по охране труда и проверки знания требований охраны труда.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До заключения Договора представить список ответственных лиц: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    • </w:t>
            </w: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Выдающий наряд-допуск;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    • </w:t>
            </w: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Руководитель работ;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    • </w:t>
            </w: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Исполнители работ.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До заключения договора представить документальное подтверждение соответствия квалификации персонала, выполняющего работы согласно ТТ, в части обращения с отходами: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- заверенные копии свидетельств (удостоверений) персонала, осуществляющего обращение с отходами, а также погрузку и транспортировку производственных отходов, подтверждающих право работы с отходами 1-4 классов опасности;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- заверенный список лиц, допущенных к обращению с отходами и имеющих профессиональную подготовку, подтвержденную свидетельствами/ удостоверениями на право работы с отходами 1-4 класса опасности.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- сведения о лицах из указанного перечня, подтверждающие принадлежность данных лиц к Субподрядчику (копии трудового договора или копии трудовых книжек или копии приказов о приёме на работу);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- справку об отсутствии судимости;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- заполненную анкету (форма в приложении № 5 к настоящим техническим требованиям);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- согласие на обработку персональных и иных охраняемых законном данных (форма в приложении № 6 к настоящим техническим требованиям).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-копии документов прохождения медосмотра и психиатрического и наркологического освидетельствования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Заверенными руководителем организации.</w:t>
            </w:r>
          </w:p>
        </w:tc>
        <w:tc>
          <w:tcPr>
            <w:tcW w:w="1875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3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418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W w:w="11145" w:type="dxa"/>
            <w:gridSpan w:val="2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Требования к безопасности работ и охране труда</w:t>
            </w:r>
          </w:p>
        </w:tc>
        <w:tc>
          <w:tcPr>
            <w:tcW w:w="1875" w:type="dxa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contextualSpacing/>
              <w:jc w:val="left"/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3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contextualSpacing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418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W w:w="88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Требования к безопасности выполняемых работ</w:t>
            </w:r>
          </w:p>
        </w:tc>
        <w:tc>
          <w:tcPr>
            <w:tcW w:w="1026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Субподрядчик должен при производстве работ соблюдать: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Постановление Правительства РФ от 24.12.2021 N 2464 "О порядке обучения по охране труда и проверки знания требований охраны труда"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Правил    по    охране    труда     при   эксплуатации    электроустановок, утверждённых приказом Министерство труда и социальной защиты РФ от 15.12.2020г. № 903н, зарегистрированных в Минюсте России 30.12.2020 N 61957;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Правил по охране труда при строительстве, реконструкции и ремонте, утверждённых приказом Минтруда России от 11.12.2020 N 883н, зарегистрированных в Минюсте России 24.12.2020 N 61787;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СНиП 12-03-2001«Безопасность труда в строительстве» Часть 1.Общие требования, утвержденных Постановлением Госстроя РФ от 23.07.2001 N 80, зарегистрированных в Минюсте РФ 09.08.2001 N 2862;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СНиП 12-04-2002  «Безопасность  труда  в  строительстве» Часть 2.  Строительное Производство, утвержденных Постановлением Госстроя России от 17.09.2002 N 123, зарегистрированных в Минюсте России 18.10.2002 N 3880;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СП 12-136-2002  «Решения по охране труда и промышленной    безопасности в ПНР и ПОС», утвержденных  Постановлением Госстроя РФ от 17.09.2002 N 122;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Правил по охране труда при погрузочно-разгрузочных работах и размещении грузов»,  утверждённых приказом Минтруда России от 28.10.2020 г. № 753н, зарегистрированных в Минюсте России 15.12.2020 N 61471;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ГОСТ 12.3.009-76 «ССБТ. Работы погрузочно-разгрузочные. Общие требования       безопасности», утвержден Постановлением Госстандарта СССР от 23.03.1976 N 670;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Постановление Правительства РФ от 10.09.2020 N 1391 "Об утверждении Правил охраны поверхностных водных объектов";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ФЗ № 7 от 10.01.2002 г «Об охране окружающей среды»;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Правил противопожарного режима в Российской Федерации, утверждённых постановлением Правительства РФ от 16.09.2020 N 1479;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- 45.13330.2017. Свод правил. Земляные сооружения, основания и фундаменты. Актуализированная редакция СНиП 3.02.01-87" (утв. и введен в действие Приказом Минстроя России от 27.02.2017 N 125/пр)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Приказ Минстроя России от 27.07.2017 N 1033/пр "Об утверждении СП 68.13330.2017 "СНиП 3.01.04-87 Приемка в эксплуатацию законченных строительством объектов. Основные положения";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shd w:fill="auto" w:val="clear"/>
                <w:lang w:val="ru-RU" w:eastAsia="en-US" w:bidi="ar-SA"/>
              </w:rPr>
              <w:t>Приказ Минстроя 344/пр от 16 мая 2023 г. «</w:t>
            </w:r>
            <w:r>
              <w:rPr>
                <w:rFonts w:eastAsia="Calibri" w:cs="Times New Roman"/>
                <w:kern w:val="0"/>
                <w:position w:val="0"/>
                <w:sz w:val="22"/>
                <w:sz w:val="22"/>
                <w:szCs w:val="22"/>
                <w:shd w:fill="auto" w:val="clear"/>
                <w:vertAlign w:val="baseline"/>
                <w:lang w:val="ru-RU" w:eastAsia="en-US" w:bidi="ar-SA"/>
              </w:rPr>
              <w:t>О</w:t>
            </w:r>
            <w:r>
              <w:rPr>
                <w:rFonts w:eastAsia="Calibri" w:cs="Times New Roman"/>
                <w:b w:val="false"/>
                <w:bCs w:val="false"/>
                <w:kern w:val="0"/>
                <w:position w:val="0"/>
                <w:sz w:val="22"/>
                <w:sz w:val="22"/>
                <w:szCs w:val="22"/>
                <w:shd w:fill="auto" w:val="clear"/>
                <w:vertAlign w:val="baseline"/>
                <w:lang w:val="ru-RU" w:eastAsia="en-US" w:bidi="ar-SA"/>
              </w:rPr>
              <w:t>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</w:t>
            </w:r>
            <w:r>
              <w:rPr>
                <w:rFonts w:eastAsia="Calibri" w:cs="Times New Roman"/>
                <w:kern w:val="0"/>
                <w:sz w:val="22"/>
                <w:szCs w:val="22"/>
                <w:shd w:fill="auto" w:val="clear"/>
                <w:lang w:val="ru-RU" w:eastAsia="en-US" w:bidi="ar-SA"/>
              </w:rPr>
              <w:t>»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shd w:fill="auto" w:val="clear"/>
                <w:lang w:val="ru-RU" w:eastAsia="en-US" w:bidi="ar-SA"/>
              </w:rPr>
              <w:t>Приказ Минстроя 1026/пр от 2 декабря 2022 г. «Об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объекта капитального строительства»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Правил по охране труда при работе с инструментом и приспособлениями, утверждённых Приказом Минтруда России от 27.11.2020 г. № 835н, зарегистрированных в Минюсте России 11.12.2020 N 61411.</w:t>
            </w:r>
          </w:p>
        </w:tc>
        <w:tc>
          <w:tcPr>
            <w:tcW w:w="1875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left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bidi="ar-SA"/>
              </w:rPr>
              <w:t>Согласие с требованием</w:t>
            </w:r>
          </w:p>
        </w:tc>
        <w:tc>
          <w:tcPr>
            <w:tcW w:w="13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left"/>
              <w:rPr>
                <w:rFonts w:ascii="Times New Roman" w:hAnsi="Times New Roman" w:cs="Times New Roman"/>
                <w:kern w:val="0"/>
                <w:lang w:val="ru-RU" w:bidi="ar-SA"/>
              </w:rPr>
            </w:pPr>
            <w:r>
              <w:rPr>
                <w:rFonts w:cs="Times New Roman"/>
                <w:kern w:val="0"/>
                <w:lang w:val="ru-RU" w:bidi="ar-SA"/>
              </w:rPr>
            </w:r>
          </w:p>
        </w:tc>
      </w:tr>
      <w:tr>
        <w:trPr/>
        <w:tc>
          <w:tcPr>
            <w:tcW w:w="418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W w:w="11145" w:type="dxa"/>
            <w:gridSpan w:val="2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Требования к результатам работ</w:t>
            </w:r>
          </w:p>
        </w:tc>
        <w:tc>
          <w:tcPr>
            <w:tcW w:w="1875" w:type="dxa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3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418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W w:w="11145" w:type="dxa"/>
            <w:gridSpan w:val="2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Требования к порядку приемки результатов работ</w:t>
            </w:r>
          </w:p>
        </w:tc>
        <w:tc>
          <w:tcPr>
            <w:tcW w:w="1875" w:type="dxa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contextualSpacing/>
              <w:jc w:val="left"/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3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contextualSpacing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418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W w:w="88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Предъявление Объекта комиссии Генподрядчика</w:t>
            </w:r>
          </w:p>
        </w:tc>
        <w:tc>
          <w:tcPr>
            <w:tcW w:w="1026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Оформление отчетной и исполнительной документации, указанных в п. 2.2 настоящей таблицы.</w:t>
            </w:r>
          </w:p>
        </w:tc>
        <w:tc>
          <w:tcPr>
            <w:tcW w:w="1875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30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418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W w:w="11145" w:type="dxa"/>
            <w:gridSpan w:val="2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Требования к оформлению документации</w:t>
            </w:r>
          </w:p>
        </w:tc>
        <w:tc>
          <w:tcPr>
            <w:tcW w:w="1875" w:type="dxa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contextualSpacing/>
              <w:jc w:val="left"/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3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contextualSpacing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418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W w:w="8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Документы, передаваемые заказчику по результатам выполненных работ</w:t>
            </w:r>
          </w:p>
        </w:tc>
        <w:tc>
          <w:tcPr>
            <w:tcW w:w="1026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Субподрядчик обязан одновременно с передачей актов приемки выполненных работ по форме КС-2 передать Генподрядчику: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spacing w:before="0" w:after="0"/>
              <w:ind w:left="310" w:hanging="283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акты на скрытые работы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spacing w:before="0" w:after="0"/>
              <w:ind w:left="310" w:hanging="283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исполнительные чертежи, схемы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spacing w:before="0" w:after="0"/>
              <w:ind w:left="310" w:hanging="283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общий и специальный журналы учета выполнения работ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сертификаты качества и паспорта на применённые материалы</w:t>
            </w:r>
          </w:p>
        </w:tc>
        <w:tc>
          <w:tcPr>
            <w:tcW w:w="1875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30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418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W w:w="11145" w:type="dxa"/>
            <w:gridSpan w:val="2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2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Требования к ответственности и гарантиям субподрядчика</w:t>
            </w:r>
          </w:p>
        </w:tc>
        <w:tc>
          <w:tcPr>
            <w:tcW w:w="1875" w:type="dxa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20" w:after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3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20" w:after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418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W w:w="8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Гарантийный срок на результат работ</w:t>
            </w:r>
          </w:p>
        </w:tc>
        <w:tc>
          <w:tcPr>
            <w:tcW w:w="1026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Гарантия качества на результат Работ в отношении каждого Объекта действует с даты подписания Сторонами Актов о приемке выполненных работ в отношении каждого основного средства в составе Объекта (по форме КС-2) и Справки о стоимости выполненных работ и затрат (по форме КС-3) за весь объем выполненных работ в течение 36 (Тридцать шесть) месяцев.</w:t>
            </w:r>
          </w:p>
        </w:tc>
        <w:tc>
          <w:tcPr>
            <w:tcW w:w="1875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30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</w:tbl>
    <w:p>
      <w:pPr>
        <w:sectPr>
          <w:headerReference w:type="default" r:id="rId5"/>
          <w:headerReference w:type="first" r:id="rId6"/>
          <w:type w:val="nextPage"/>
          <w:pgSz w:orient="landscape" w:w="16838" w:h="11906"/>
          <w:pgMar w:left="992" w:right="567" w:gutter="0" w:header="680" w:top="851" w:footer="0" w:bottom="851"/>
          <w:pgNumType w:fmt="decimal"/>
          <w:formProt w:val="false"/>
          <w:titlePg/>
          <w:textDirection w:val="lrTb"/>
          <w:docGrid w:type="default" w:linePitch="381" w:charSpace="0"/>
        </w:sectPr>
      </w:pPr>
    </w:p>
    <w:p>
      <w:pPr>
        <w:pStyle w:val="Heading1"/>
        <w:numPr>
          <w:ilvl w:val="0"/>
          <w:numId w:val="3"/>
        </w:numPr>
        <w:ind w:left="0" w:hanging="0"/>
        <w:jc w:val="center"/>
        <w:rPr/>
      </w:pPr>
      <w:bookmarkStart w:id="90" w:name="__RefHeading___Toc31052_2759022566"/>
      <w:bookmarkStart w:id="91" w:name="_Toc54279844"/>
      <w:bookmarkStart w:id="92" w:name="_Toc54618151"/>
      <w:bookmarkStart w:id="93" w:name="_Toc125123781"/>
      <w:bookmarkEnd w:id="90"/>
      <w:r>
        <w:rPr/>
        <w:t>Требования к документации по</w:t>
      </w:r>
      <w:r>
        <w:rPr>
          <w:lang w:val="ru-RU"/>
        </w:rPr>
        <w:t xml:space="preserve"> </w:t>
      </w:r>
      <w:r>
        <w:rPr/>
        <w:t>ценообразованию на этапе закупки</w:t>
      </w:r>
      <w:bookmarkEnd w:id="91"/>
      <w:bookmarkEnd w:id="92"/>
      <w:bookmarkEnd w:id="93"/>
    </w:p>
    <w:p>
      <w:pPr>
        <w:pStyle w:val="Heading4"/>
        <w:numPr>
          <w:ilvl w:val="1"/>
          <w:numId w:val="3"/>
        </w:numPr>
        <w:ind w:left="1418" w:hanging="709"/>
        <w:rPr/>
      </w:pPr>
      <w:bookmarkStart w:id="94" w:name="__RefHeading___Toc31054_2759022566"/>
      <w:bookmarkStart w:id="95" w:name="_Toc125123782"/>
      <w:bookmarkStart w:id="96" w:name="_Hlk67315138"/>
      <w:bookmarkEnd w:id="94"/>
      <w:bookmarkEnd w:id="96"/>
      <w:r>
        <w:rPr>
          <w:b w:val="false"/>
          <w:bCs w:val="false"/>
          <w:iCs/>
        </w:rPr>
        <w:t>В обоснование стоимости своей заявки Участник предостав</w:t>
      </w:r>
      <w:r>
        <w:rPr>
          <w:b w:val="false"/>
          <w:bCs w:val="false"/>
          <w:iCs/>
          <w:lang w:val="ru-RU"/>
        </w:rPr>
        <w:t>ляет</w:t>
      </w:r>
      <w:r>
        <w:rPr>
          <w:b w:val="false"/>
          <w:bCs w:val="false"/>
          <w:iCs/>
        </w:rPr>
        <w:t xml:space="preserve"> Коммерческое предложение по форме</w:t>
      </w:r>
      <w:r>
        <w:rPr>
          <w:b w:val="false"/>
          <w:bCs w:val="false"/>
          <w:iCs/>
          <w:lang w:val="ru-RU"/>
        </w:rPr>
        <w:t xml:space="preserve"> (с учетом прилагаемой к ней инструкции по заполнению)</w:t>
      </w:r>
      <w:r>
        <w:rPr>
          <w:b w:val="false"/>
          <w:bCs w:val="false"/>
          <w:iCs/>
        </w:rPr>
        <w:t>, приведенной в Документации о закупке.</w:t>
      </w:r>
      <w:bookmarkEnd w:id="95"/>
    </w:p>
    <w:p>
      <w:pPr>
        <w:pStyle w:val="Heading4"/>
        <w:numPr>
          <w:ilvl w:val="1"/>
          <w:numId w:val="3"/>
        </w:numPr>
        <w:ind w:left="1418" w:hanging="709"/>
        <w:rPr/>
      </w:pPr>
      <w:bookmarkStart w:id="97" w:name="__RefHeading___Toc31056_2759022566"/>
      <w:bookmarkStart w:id="98" w:name="_Toc125123783"/>
      <w:bookmarkEnd w:id="97"/>
      <w:r>
        <w:rPr>
          <w:b w:val="false"/>
          <w:iCs/>
        </w:rPr>
        <w:t xml:space="preserve">Дополнительные документы по ценообразованию </w:t>
      </w:r>
      <w:r>
        <w:rPr>
          <w:b w:val="false"/>
          <w:iCs/>
          <w:lang w:val="ru-RU"/>
        </w:rPr>
        <w:t>(сметная</w:t>
      </w:r>
      <w:r>
        <w:rPr>
          <w:b w:val="false"/>
          <w:iCs/>
        </w:rPr>
        <w:t xml:space="preserve"> документация</w:t>
      </w:r>
      <w:r>
        <w:rPr>
          <w:b w:val="false"/>
          <w:iCs/>
          <w:lang w:val="ru-RU"/>
        </w:rPr>
        <w:t>)</w:t>
      </w:r>
      <w:r>
        <w:rPr>
          <w:b w:val="false"/>
          <w:iCs/>
        </w:rPr>
        <w:t xml:space="preserve"> в состав заявки Участника не включа</w:t>
      </w:r>
      <w:r>
        <w:rPr>
          <w:b w:val="false"/>
          <w:iCs/>
          <w:lang w:val="ru-RU"/>
        </w:rPr>
        <w:t>ю</w:t>
      </w:r>
      <w:r>
        <w:rPr>
          <w:b w:val="false"/>
          <w:iCs/>
        </w:rPr>
        <w:t>тся».</w:t>
      </w:r>
      <w:bookmarkEnd w:id="98"/>
    </w:p>
    <w:p>
      <w:pPr>
        <w:pStyle w:val="Normal"/>
        <w:rPr>
          <w:lang w:val="x-none" w:eastAsia="x-none"/>
        </w:rPr>
      </w:pPr>
      <w:r>
        <w:rPr>
          <w:lang w:val="x-none" w:eastAsia="x-none"/>
        </w:rPr>
      </w:r>
      <w:bookmarkStart w:id="99" w:name="_Hlk673151381"/>
      <w:bookmarkStart w:id="100" w:name="_Hlk673151381"/>
      <w:bookmarkEnd w:id="100"/>
    </w:p>
    <w:p>
      <w:pPr>
        <w:pStyle w:val="Normal"/>
        <w:rPr>
          <w:bCs/>
          <w:sz w:val="24"/>
          <w:szCs w:val="24"/>
          <w:lang w:eastAsia="x-none"/>
        </w:rPr>
      </w:pPr>
      <w:r>
        <w:rPr>
          <w:bCs/>
          <w:sz w:val="24"/>
          <w:szCs w:val="24"/>
          <w:lang w:eastAsia="x-none"/>
        </w:rPr>
      </w:r>
      <w:r>
        <w:br w:type="page"/>
      </w:r>
    </w:p>
    <w:p>
      <w:pPr>
        <w:pStyle w:val="Heading1"/>
        <w:numPr>
          <w:ilvl w:val="0"/>
          <w:numId w:val="3"/>
        </w:numPr>
        <w:ind w:left="0" w:hanging="0"/>
        <w:jc w:val="center"/>
        <w:rPr/>
      </w:pPr>
      <w:bookmarkStart w:id="101" w:name="__RefHeading___Toc31058_2759022566"/>
      <w:bookmarkStart w:id="102" w:name="_Toc125123784"/>
      <w:bookmarkStart w:id="103" w:name="_Toc54279845"/>
      <w:bookmarkStart w:id="104" w:name="_Toc54618152"/>
      <w:bookmarkEnd w:id="101"/>
      <w:r>
        <w:rPr/>
        <w:t>Требования к документации по ценообразованию на этапе заключения</w:t>
      </w:r>
      <w:r>
        <w:rPr>
          <w:lang w:val="ru-RU"/>
        </w:rPr>
        <w:t xml:space="preserve"> (исполнения)</w:t>
      </w:r>
      <w:r>
        <w:rPr/>
        <w:t xml:space="preserve"> договора</w:t>
      </w:r>
      <w:bookmarkEnd w:id="102"/>
      <w:bookmarkEnd w:id="103"/>
      <w:bookmarkEnd w:id="104"/>
    </w:p>
    <w:p>
      <w:pPr>
        <w:pStyle w:val="Normal"/>
        <w:numPr>
          <w:ilvl w:val="1"/>
          <w:numId w:val="11"/>
        </w:numPr>
        <w:spacing w:before="0" w:after="120"/>
        <w:ind w:left="1418" w:hanging="698"/>
        <w:jc w:val="both"/>
        <w:rPr/>
      </w:pPr>
      <w:r>
        <w:rPr>
          <w:iCs/>
          <w:sz w:val="24"/>
          <w:szCs w:val="24"/>
          <w:lang w:eastAsia="x-none"/>
        </w:rPr>
        <w:t>По результатам настоящей закупки заключается договор с предельной ценой</w:t>
      </w:r>
    </w:p>
    <w:p>
      <w:pPr>
        <w:pStyle w:val="Normal"/>
        <w:numPr>
          <w:ilvl w:val="1"/>
          <w:numId w:val="11"/>
        </w:numPr>
        <w:spacing w:before="0" w:after="120"/>
        <w:ind w:left="1418" w:hanging="698"/>
        <w:jc w:val="both"/>
        <w:rPr/>
      </w:pPr>
      <w:r>
        <w:rPr>
          <w:iCs/>
          <w:sz w:val="24"/>
          <w:szCs w:val="24"/>
          <w:lang w:eastAsia="x-none"/>
        </w:rPr>
        <w:t>В рамках исполнения договора взаиморасчеты будут осуществляться по смете, выданной Заказчиком в производство работ. Формирование смет производится на этапе исполнения договора, в соответствии с Требованиями к оформлению и составлению документации по ценообразованию (Приложение №2).</w:t>
      </w:r>
    </w:p>
    <w:p>
      <w:pPr>
        <w:pStyle w:val="Normal"/>
        <w:numPr>
          <w:ilvl w:val="1"/>
          <w:numId w:val="11"/>
        </w:numPr>
        <w:spacing w:before="0" w:after="120"/>
        <w:ind w:left="1418" w:hanging="698"/>
        <w:jc w:val="both"/>
        <w:rPr/>
      </w:pPr>
      <w:r>
        <w:rPr>
          <w:iCs/>
          <w:sz w:val="24"/>
          <w:szCs w:val="24"/>
          <w:lang w:eastAsia="x-none"/>
        </w:rPr>
        <w:t>Все коэффициенты (генподрядный) начисляются в каждой локальной смете к итогу.</w:t>
      </w:r>
    </w:p>
    <w:p>
      <w:pPr>
        <w:pStyle w:val="Normal"/>
        <w:numPr>
          <w:ilvl w:val="1"/>
          <w:numId w:val="11"/>
        </w:numPr>
        <w:spacing w:before="0" w:after="120"/>
        <w:ind w:left="1418" w:hanging="698"/>
        <w:jc w:val="both"/>
        <w:rPr/>
      </w:pPr>
      <w:r>
        <w:rPr>
          <w:iCs/>
          <w:sz w:val="24"/>
          <w:szCs w:val="24"/>
          <w:lang w:eastAsia="x-none"/>
        </w:rPr>
        <w:t>В случае если стоимость по смете, выданной в производство работ, будет превышать стоимость, указанную в Коммерческом предложении, в ходе исполнения договора Подрядчику необходимо применить соответствующий дополнительный понижающий коэффициент и откорректировать стоимость в сторону ее уменьшения.</w:t>
      </w:r>
    </w:p>
    <w:p>
      <w:pPr>
        <w:pStyle w:val="Normal"/>
        <w:numPr>
          <w:ilvl w:val="1"/>
          <w:numId w:val="11"/>
        </w:numPr>
        <w:spacing w:before="0" w:after="120"/>
        <w:ind w:left="1418" w:hanging="698"/>
        <w:jc w:val="both"/>
        <w:rPr/>
      </w:pPr>
      <w:r>
        <w:rPr>
          <w:iCs/>
          <w:sz w:val="24"/>
          <w:szCs w:val="24"/>
          <w:lang w:eastAsia="x-none"/>
        </w:rPr>
        <w:t>В случае если стоимость по смете, выданной в производство работ, будет ниже стоимости, указанной в Коммерческом предложении, взаиморасчеты будут осуществляться по данной смете без увеличения стоимости, указанной в коммерческом предложении.</w:t>
      </w:r>
      <w:r>
        <w:br w:type="page"/>
      </w:r>
    </w:p>
    <w:p>
      <w:pPr>
        <w:pStyle w:val="Heading1"/>
        <w:keepNext w:val="false"/>
        <w:numPr>
          <w:ilvl w:val="0"/>
          <w:numId w:val="3"/>
        </w:numPr>
        <w:ind w:left="0" w:hanging="0"/>
        <w:jc w:val="center"/>
        <w:rPr/>
      </w:pPr>
      <w:bookmarkStart w:id="105" w:name="__RefHeading___Toc31060_2759022566"/>
      <w:bookmarkStart w:id="106" w:name="_Toc125123785"/>
      <w:bookmarkStart w:id="107" w:name="_Toc54279725"/>
      <w:bookmarkStart w:id="108" w:name="_Toc54279846"/>
      <w:bookmarkStart w:id="109" w:name="_Toc54457704"/>
      <w:bookmarkStart w:id="110" w:name="_Toc54459814"/>
      <w:bookmarkStart w:id="111" w:name="_Hlk673152081"/>
      <w:bookmarkEnd w:id="105"/>
      <w:bookmarkEnd w:id="107"/>
      <w:bookmarkEnd w:id="108"/>
      <w:bookmarkEnd w:id="109"/>
      <w:bookmarkEnd w:id="110"/>
      <w:bookmarkEnd w:id="111"/>
      <w:r>
        <w:rPr/>
        <w:t>Приложения</w:t>
      </w:r>
      <w:bookmarkEnd w:id="106"/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b/>
          <w:i/>
          <w:i/>
          <w:iCs/>
          <w:sz w:val="24"/>
          <w:szCs w:val="24"/>
          <w:u w:val="single"/>
        </w:rPr>
      </w:pPr>
      <w:r>
        <w:rPr>
          <w:b/>
          <w:i/>
          <w:iCs/>
          <w:sz w:val="24"/>
          <w:szCs w:val="24"/>
          <w:u w:val="single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/>
      </w:pPr>
      <w:r>
        <w:rPr>
          <w:bCs/>
          <w:iCs/>
          <w:sz w:val="24"/>
          <w:szCs w:val="24"/>
        </w:rPr>
        <w:t xml:space="preserve">Приложение № 1: </w:t>
      </w:r>
      <w:bookmarkStart w:id="112" w:name="_Hlk87545766"/>
      <w:r>
        <w:rPr>
          <w:bCs/>
          <w:iCs/>
          <w:sz w:val="24"/>
          <w:szCs w:val="24"/>
        </w:rPr>
        <w:t>Ведомость объёмов работ</w:t>
      </w:r>
      <w:bookmarkEnd w:id="112"/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/>
      </w:pPr>
      <w:r>
        <w:rPr>
          <w:bCs/>
          <w:iCs/>
          <w:sz w:val="24"/>
          <w:szCs w:val="24"/>
        </w:rPr>
        <w:t xml:space="preserve">Приложение № 2: </w:t>
      </w:r>
      <w:r>
        <w:rPr>
          <w:bCs/>
          <w:iCs/>
          <w:sz w:val="24"/>
          <w:szCs w:val="24"/>
          <w:lang w:val="x-none"/>
        </w:rPr>
        <w:t>Требования к оформлению и составлению документации по ценообразованию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/>
      </w:pPr>
      <w:r>
        <w:rPr>
          <w:bCs/>
          <w:iCs/>
          <w:sz w:val="24"/>
          <w:szCs w:val="24"/>
          <w:lang w:val="x-none"/>
        </w:rPr>
        <w:t>Приложение № 3: СТО РусГидро 05.02.126-2020;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/>
      </w:pPr>
      <w:r>
        <w:rPr>
          <w:bCs/>
          <w:iCs/>
          <w:sz w:val="24"/>
          <w:szCs w:val="24"/>
          <w:lang w:val="x-none"/>
        </w:rPr>
        <w:t>Приложение № 4: СТО РусГидро 02.01.62 – 2021.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/>
      </w:pPr>
      <w:r>
        <w:rPr>
          <w:bCs/>
          <w:iCs/>
          <w:sz w:val="24"/>
          <w:szCs w:val="24"/>
          <w:lang w:val="x-none"/>
        </w:rPr>
        <w:t xml:space="preserve">Приложение № 5: Регламент процесса «Допуск персонала подрядных организаций на объекты ПАО "РусГидро". 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/>
      </w:pPr>
      <w:r>
        <w:rPr>
          <w:bCs/>
          <w:iCs/>
          <w:sz w:val="24"/>
          <w:szCs w:val="24"/>
          <w:lang w:val="x-none"/>
        </w:rPr>
        <w:t xml:space="preserve">Приложение № 6: Методика допуска персонала подрядных организаций к выполнению работ на объектах Общества. 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/>
      </w:pPr>
      <w:r>
        <w:rPr>
          <w:bCs/>
          <w:iCs/>
          <w:sz w:val="24"/>
          <w:szCs w:val="24"/>
          <w:lang w:val="x-none"/>
        </w:rPr>
        <w:t xml:space="preserve">Приложение № 7: Приказ филиала ПАО «РусГидро» - «Волжская ГЭС» «О введении в действие Регламента процесса «Допуск персонала подрядных организаций на объекты ПАО «РусГидро». 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/>
      </w:pPr>
      <w:r>
        <w:rPr>
          <w:bCs/>
          <w:iCs/>
          <w:sz w:val="24"/>
          <w:szCs w:val="24"/>
          <w:lang w:val="x-none"/>
        </w:rPr>
        <w:t>Приложение №8: Альбом моделей процесса «Допуск персонала подрядных организаций на объекты Общества».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iCs/>
          <w:sz w:val="26"/>
          <w:szCs w:val="26"/>
          <w:lang w:val="x-none"/>
        </w:rPr>
      </w:pPr>
      <w:r>
        <w:rPr>
          <w:iCs/>
          <w:sz w:val="26"/>
          <w:szCs w:val="26"/>
          <w:lang w:val="x-none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</w:r>
    </w:p>
    <w:p>
      <w:pPr>
        <w:pStyle w:val="ListParagraph"/>
        <w:keepNext w:val="true"/>
        <w:shd w:val="clear" w:color="auto" w:fill="FFFFFF"/>
        <w:tabs>
          <w:tab w:val="clear" w:pos="708"/>
          <w:tab w:val="left" w:pos="1134" w:leader="none"/>
          <w:tab w:val="left" w:pos="1418" w:leader="none"/>
        </w:tabs>
        <w:spacing w:before="0" w:after="0"/>
        <w:contextualSpacing w:val="false"/>
        <w:jc w:val="both"/>
        <w:rPr>
          <w:rFonts w:eastAsia="Times New Roman"/>
        </w:rPr>
      </w:pPr>
      <w:r>
        <w:rPr>
          <w:rFonts w:eastAsia="Times New Roman"/>
        </w:rPr>
      </w:r>
    </w:p>
    <w:p>
      <w:pPr>
        <w:pStyle w:val="Normal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br w:type="page"/>
      </w:r>
    </w:p>
    <w:p>
      <w:pPr>
        <w:pStyle w:val="Normal"/>
        <w:jc w:val="right"/>
        <w:rPr/>
      </w:pPr>
      <w:r>
        <w:rPr>
          <w:bCs/>
          <w:sz w:val="24"/>
          <w:szCs w:val="24"/>
        </w:rPr>
        <w:t xml:space="preserve">Приложение № 1 </w:t>
      </w:r>
    </w:p>
    <w:p>
      <w:pPr>
        <w:pStyle w:val="Normal"/>
        <w:jc w:val="center"/>
        <w:rPr/>
      </w:pPr>
      <w:r>
        <w:rPr>
          <w:b/>
          <w:bCs/>
          <w:sz w:val="24"/>
          <w:szCs w:val="24"/>
        </w:rPr>
        <w:t>Ведомость объёмов работ</w:t>
      </w:r>
    </w:p>
    <w:p>
      <w:pPr>
        <w:pStyle w:val="Normal"/>
        <w:jc w:val="center"/>
        <w:rPr/>
      </w:pPr>
      <w:r>
        <w:rPr>
          <w:bCs/>
          <w:iCs/>
          <w:sz w:val="24"/>
          <w:szCs w:val="24"/>
        </w:rPr>
        <w:t xml:space="preserve"> </w:t>
      </w:r>
      <w:r>
        <w:rPr>
          <w:bCs/>
          <w:iCs/>
          <w:sz w:val="24"/>
          <w:szCs w:val="24"/>
        </w:rPr>
        <w:t xml:space="preserve">Восстановление асфальтобетонного покрытия автодороги и площадок </w:t>
      </w:r>
    </w:p>
    <w:tbl>
      <w:tblPr>
        <w:tblW w:w="9888" w:type="dxa"/>
        <w:jc w:val="left"/>
        <w:tblInd w:w="2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noHBand="0" w:noVBand="1" w:firstColumn="1" w:lastRow="0" w:lastColumn="0" w:firstRow="1"/>
      </w:tblPr>
      <w:tblGrid>
        <w:gridCol w:w="706"/>
        <w:gridCol w:w="6543"/>
        <w:gridCol w:w="963"/>
        <w:gridCol w:w="1675"/>
      </w:tblGrid>
      <w:tr>
        <w:trPr>
          <w:trHeight w:val="720" w:hRule="atLeast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6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 изм.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</w:tc>
      </w:tr>
      <w:tr>
        <w:trPr>
          <w:trHeight w:val="240" w:hRule="atLeast"/>
        </w:trPr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>
        <w:trPr>
          <w:trHeight w:val="285" w:hRule="atLeast"/>
        </w:trPr>
        <w:tc>
          <w:tcPr>
            <w:tcW w:w="988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Земляное полотно</w:t>
            </w:r>
          </w:p>
        </w:tc>
      </w:tr>
      <w:tr>
        <w:trPr>
          <w:trHeight w:val="900" w:hRule="atLeast"/>
        </w:trPr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грунта с погрузкой в автомобили-самосвалы экскаваторами импортного производства с ковшом вместимостью 0,5 (0,5-0,63) м3, группа грунтов: 2</w:t>
            </w:r>
          </w:p>
        </w:tc>
        <w:tc>
          <w:tcPr>
            <w:tcW w:w="96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1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585,225</w:t>
              <w:br/>
            </w:r>
          </w:p>
        </w:tc>
      </w:tr>
      <w:tr>
        <w:trPr>
          <w:trHeight w:val="675" w:hRule="atLeast"/>
        </w:trPr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5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Перевозка грузов автомобилями-самосвалами грузоподъемностью 10 т работающих вне карьера на расстояние: I класс груза на 25 км</w:t>
            </w:r>
          </w:p>
        </w:tc>
        <w:tc>
          <w:tcPr>
            <w:tcW w:w="96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1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1225,95</w:t>
              <w:br/>
            </w:r>
            <w:r>
              <w:rPr>
                <w:sz w:val="16"/>
                <w:szCs w:val="16"/>
              </w:rPr>
              <w:t>743*1,65</w:t>
            </w:r>
          </w:p>
        </w:tc>
      </w:tr>
      <w:tr>
        <w:trPr>
          <w:trHeight w:val="675" w:hRule="atLeast"/>
        </w:trPr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5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Погрузка при автомобильных перевозках мусора строительного с погрузкой экскаваторами емкостью ковша до 0,5 м3. Строительный мусор от разборки существующего покрытия</w:t>
            </w:r>
          </w:p>
        </w:tc>
        <w:tc>
          <w:tcPr>
            <w:tcW w:w="96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1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232,211</w:t>
              <w:br/>
            </w:r>
          </w:p>
        </w:tc>
      </w:tr>
      <w:tr>
        <w:trPr>
          <w:trHeight w:val="675" w:hRule="atLeast"/>
        </w:trPr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5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Перевозка грузов I класса автомобилями-самосвалами грузоподъемностью 10 т работающих вне карьера на расстояние на 25 км для утилизации</w:t>
            </w:r>
          </w:p>
        </w:tc>
        <w:tc>
          <w:tcPr>
            <w:tcW w:w="96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1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409,9235</w:t>
              <w:br/>
            </w:r>
          </w:p>
        </w:tc>
      </w:tr>
      <w:tr>
        <w:trPr>
          <w:trHeight w:val="285" w:hRule="atLeast"/>
        </w:trPr>
        <w:tc>
          <w:tcPr>
            <w:tcW w:w="988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Автодорога и площадки тип 1</w:t>
            </w:r>
          </w:p>
        </w:tc>
      </w:tr>
      <w:tr>
        <w:trPr>
          <w:trHeight w:val="450" w:hRule="atLeast"/>
        </w:trPr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5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подстилающих и выравнивающих слоев оснований: из песка толщиной 150 мм</w:t>
            </w:r>
          </w:p>
        </w:tc>
        <w:tc>
          <w:tcPr>
            <w:tcW w:w="96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1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104,5</w:t>
              <w:br/>
            </w:r>
          </w:p>
        </w:tc>
      </w:tr>
      <w:tr>
        <w:trPr>
          <w:trHeight w:val="450" w:hRule="atLeast"/>
        </w:trPr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5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Песок природный II класс, средний, круглые сита</w:t>
            </w:r>
          </w:p>
        </w:tc>
        <w:tc>
          <w:tcPr>
            <w:tcW w:w="96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1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114,95</w:t>
              <w:br/>
            </w:r>
            <w:r>
              <w:rPr>
                <w:sz w:val="16"/>
                <w:szCs w:val="16"/>
              </w:rPr>
              <w:t>104,5*1,1</w:t>
            </w:r>
          </w:p>
        </w:tc>
      </w:tr>
      <w:tr>
        <w:trPr>
          <w:trHeight w:val="450" w:hRule="atLeast"/>
        </w:trPr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5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Укладка и пропитка с применением битума щебеночных покрытий толщиной 25 см</w:t>
            </w:r>
          </w:p>
        </w:tc>
        <w:tc>
          <w:tcPr>
            <w:tcW w:w="96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1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696,55</w:t>
              <w:br/>
            </w:r>
          </w:p>
        </w:tc>
      </w:tr>
      <w:tr>
        <w:trPr>
          <w:trHeight w:val="450" w:hRule="atLeast"/>
        </w:trPr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5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Разогревание битума в котлах емкостью 400 л (ТЧ сб.27 1.27.24)</w:t>
            </w:r>
          </w:p>
        </w:tc>
        <w:tc>
          <w:tcPr>
            <w:tcW w:w="96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1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26,267</w:t>
              <w:br/>
            </w:r>
          </w:p>
        </w:tc>
      </w:tr>
      <w:tr>
        <w:trPr>
          <w:trHeight w:val="285" w:hRule="atLeast"/>
        </w:trPr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5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Битумы нефтяные дорожные вязкие БНД 60/90, БНД 90/130</w:t>
            </w:r>
          </w:p>
        </w:tc>
        <w:tc>
          <w:tcPr>
            <w:tcW w:w="96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1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26,792</w:t>
            </w:r>
          </w:p>
        </w:tc>
      </w:tr>
      <w:tr>
        <w:trPr>
          <w:trHeight w:val="450" w:hRule="atLeast"/>
        </w:trPr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5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Устройство покрытия из горячих асфальтобетонных смесей асфальтоукладчиками второго типоразмера, толщина слоя 6 см</w:t>
            </w:r>
          </w:p>
        </w:tc>
        <w:tc>
          <w:tcPr>
            <w:tcW w:w="96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1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719,69</w:t>
              <w:br/>
            </w:r>
          </w:p>
        </w:tc>
      </w:tr>
      <w:tr>
        <w:trPr>
          <w:trHeight w:val="675" w:hRule="atLeast"/>
        </w:trPr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5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Асфальтобетон тип Б марка II (расход 24,9 кг/м2 на 1 см толщ. слоя)</w:t>
            </w:r>
          </w:p>
        </w:tc>
        <w:tc>
          <w:tcPr>
            <w:tcW w:w="96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1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107,522</w:t>
              <w:br/>
            </w:r>
            <w:r>
              <w:rPr>
                <w:sz w:val="16"/>
                <w:szCs w:val="16"/>
              </w:rPr>
              <w:t>24,9*719,69*6 / 1000</w:t>
            </w:r>
          </w:p>
        </w:tc>
      </w:tr>
      <w:tr>
        <w:trPr>
          <w:trHeight w:val="675" w:hRule="atLeast"/>
        </w:trPr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5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Розлив вяжущих материалов (СП 78.13330.2012 п.12.3.2, расход 0,65 л/м2, 1 л=1,09 кг)</w:t>
            </w:r>
          </w:p>
        </w:tc>
        <w:tc>
          <w:tcPr>
            <w:tcW w:w="96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1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0,51</w:t>
              <w:br/>
            </w:r>
            <w:r>
              <w:rPr>
                <w:sz w:val="16"/>
                <w:szCs w:val="16"/>
              </w:rPr>
              <w:t>719,69*0,65*1,09 / 1000</w:t>
            </w:r>
          </w:p>
        </w:tc>
      </w:tr>
      <w:tr>
        <w:trPr>
          <w:trHeight w:val="285" w:hRule="atLeast"/>
        </w:trPr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65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Разогревание битума в котлах емкостью 400 л (ТЧ сб.27 1.27.24)</w:t>
            </w:r>
          </w:p>
        </w:tc>
        <w:tc>
          <w:tcPr>
            <w:tcW w:w="96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1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0,5253</w:t>
            </w:r>
          </w:p>
        </w:tc>
      </w:tr>
      <w:tr>
        <w:trPr>
          <w:trHeight w:val="285" w:hRule="atLeast"/>
        </w:trPr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65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Битумы нефтяные дорожные вязкие БНД 60/90, БНД 90/130</w:t>
            </w:r>
          </w:p>
        </w:tc>
        <w:tc>
          <w:tcPr>
            <w:tcW w:w="96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1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0,5358</w:t>
            </w:r>
          </w:p>
        </w:tc>
      </w:tr>
      <w:tr>
        <w:trPr>
          <w:trHeight w:val="450" w:hRule="atLeast"/>
        </w:trPr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5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Устройство покрытия из горячих асфальтобетонных смесей асфальтоукладчиками второго типоразмера, толщина слоя 4 см</w:t>
            </w:r>
          </w:p>
        </w:tc>
        <w:tc>
          <w:tcPr>
            <w:tcW w:w="96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1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719,69</w:t>
              <w:br/>
            </w:r>
          </w:p>
        </w:tc>
      </w:tr>
      <w:tr>
        <w:trPr>
          <w:trHeight w:val="675" w:hRule="atLeast"/>
        </w:trPr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5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Асфальтобетон тип А марка I (расход 24,9 кг/м2 на 1 см толщ. слоя)</w:t>
            </w:r>
          </w:p>
        </w:tc>
        <w:tc>
          <w:tcPr>
            <w:tcW w:w="96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1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71,68</w:t>
              <w:br/>
            </w:r>
            <w:r>
              <w:rPr>
                <w:sz w:val="16"/>
                <w:szCs w:val="16"/>
              </w:rPr>
              <w:t>24,9*719,69*4 / 1000</w:t>
            </w:r>
          </w:p>
        </w:tc>
      </w:tr>
      <w:tr>
        <w:trPr>
          <w:trHeight w:val="450" w:hRule="atLeast"/>
        </w:trPr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65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бортовых камней бетонных: при других видах покрытий</w:t>
            </w:r>
          </w:p>
        </w:tc>
        <w:tc>
          <w:tcPr>
            <w:tcW w:w="96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1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</w:t>
              <w:br/>
            </w:r>
          </w:p>
        </w:tc>
      </w:tr>
      <w:tr>
        <w:trPr>
          <w:trHeight w:val="453" w:hRule="atLeast"/>
        </w:trPr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65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Камни бортовые БР 100.30.15, бетон В30 (М400), объем 0,043 м3</w:t>
            </w:r>
          </w:p>
        </w:tc>
        <w:tc>
          <w:tcPr>
            <w:tcW w:w="96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jc w:val="right"/>
        <w:rPr>
          <w:rFonts w:eastAsia="Calibri"/>
          <w:b/>
          <w:sz w:val="36"/>
          <w:szCs w:val="36"/>
        </w:rPr>
      </w:pPr>
      <w:r>
        <w:rPr>
          <w:rFonts w:eastAsia="Calibri"/>
          <w:b/>
          <w:sz w:val="36"/>
          <w:szCs w:val="36"/>
        </w:rPr>
      </w:r>
    </w:p>
    <w:p>
      <w:pPr>
        <w:pStyle w:val="Normal"/>
        <w:jc w:val="right"/>
        <w:rPr>
          <w:rFonts w:eastAsia="Calibri"/>
          <w:b/>
          <w:sz w:val="36"/>
          <w:szCs w:val="36"/>
        </w:rPr>
      </w:pPr>
      <w:r>
        <w:rPr>
          <w:rFonts w:eastAsia="Calibri"/>
          <w:b/>
          <w:sz w:val="36"/>
          <w:szCs w:val="36"/>
        </w:rPr>
      </w:r>
    </w:p>
    <w:p>
      <w:pPr>
        <w:pStyle w:val="Normal"/>
        <w:jc w:val="right"/>
        <w:rPr>
          <w:rFonts w:eastAsia="Calibri"/>
          <w:b/>
          <w:sz w:val="36"/>
          <w:szCs w:val="36"/>
        </w:rPr>
      </w:pPr>
      <w:r>
        <w:rPr>
          <w:rFonts w:eastAsia="Calibri"/>
          <w:b/>
          <w:sz w:val="36"/>
          <w:szCs w:val="36"/>
        </w:rPr>
      </w:r>
    </w:p>
    <w:p>
      <w:pPr>
        <w:pStyle w:val="Normal"/>
        <w:jc w:val="right"/>
        <w:rPr>
          <w:rFonts w:eastAsia="Calibri"/>
          <w:b/>
          <w:sz w:val="36"/>
          <w:szCs w:val="36"/>
        </w:rPr>
      </w:pPr>
      <w:r>
        <w:rPr>
          <w:rFonts w:eastAsia="Calibri"/>
          <w:b/>
          <w:sz w:val="36"/>
          <w:szCs w:val="36"/>
        </w:rPr>
      </w:r>
    </w:p>
    <w:p>
      <w:pPr>
        <w:pStyle w:val="Normal"/>
        <w:jc w:val="right"/>
        <w:rPr>
          <w:rFonts w:eastAsia="Calibri"/>
          <w:b/>
          <w:sz w:val="36"/>
          <w:szCs w:val="36"/>
        </w:rPr>
      </w:pPr>
      <w:r>
        <w:rPr>
          <w:rFonts w:eastAsia="Calibri"/>
          <w:b/>
          <w:sz w:val="36"/>
          <w:szCs w:val="36"/>
        </w:rPr>
      </w:r>
    </w:p>
    <w:p>
      <w:pPr>
        <w:pStyle w:val="Normal"/>
        <w:jc w:val="right"/>
        <w:rPr>
          <w:rFonts w:eastAsia="Calibri"/>
          <w:b/>
          <w:sz w:val="36"/>
          <w:szCs w:val="36"/>
        </w:rPr>
      </w:pPr>
      <w:r>
        <w:rPr>
          <w:rFonts w:eastAsia="Calibri"/>
          <w:b/>
          <w:sz w:val="36"/>
          <w:szCs w:val="36"/>
        </w:rPr>
      </w:r>
    </w:p>
    <w:p>
      <w:pPr>
        <w:pStyle w:val="Normal"/>
        <w:jc w:val="right"/>
        <w:rPr>
          <w:rFonts w:eastAsia="Calibri"/>
          <w:b/>
          <w:sz w:val="36"/>
          <w:szCs w:val="36"/>
        </w:rPr>
      </w:pPr>
      <w:r>
        <w:rPr>
          <w:rFonts w:eastAsia="Calibri"/>
          <w:b/>
          <w:sz w:val="36"/>
          <w:szCs w:val="36"/>
        </w:rPr>
      </w:r>
    </w:p>
    <w:p>
      <w:pPr>
        <w:pStyle w:val="Normal"/>
        <w:jc w:val="right"/>
        <w:rPr>
          <w:rFonts w:eastAsia="Calibri"/>
          <w:b/>
          <w:sz w:val="36"/>
          <w:szCs w:val="36"/>
        </w:rPr>
      </w:pPr>
      <w:r>
        <w:rPr>
          <w:rFonts w:eastAsia="Calibri"/>
          <w:b/>
          <w:sz w:val="36"/>
          <w:szCs w:val="36"/>
        </w:rPr>
      </w:r>
    </w:p>
    <w:p>
      <w:pPr>
        <w:pStyle w:val="Normal"/>
        <w:jc w:val="right"/>
        <w:rPr>
          <w:rFonts w:eastAsia="Calibri"/>
          <w:b/>
          <w:sz w:val="36"/>
          <w:szCs w:val="36"/>
        </w:rPr>
      </w:pPr>
      <w:r>
        <w:rPr>
          <w:rFonts w:eastAsia="Calibri"/>
          <w:b/>
          <w:sz w:val="36"/>
          <w:szCs w:val="36"/>
        </w:rPr>
      </w:r>
    </w:p>
    <w:p>
      <w:pPr>
        <w:pStyle w:val="Normal"/>
        <w:jc w:val="right"/>
        <w:rPr>
          <w:rFonts w:eastAsia="Calibri"/>
          <w:b/>
          <w:sz w:val="36"/>
          <w:szCs w:val="36"/>
        </w:rPr>
      </w:pPr>
      <w:r>
        <w:rPr>
          <w:rFonts w:eastAsia="Calibri"/>
          <w:b/>
          <w:sz w:val="36"/>
          <w:szCs w:val="36"/>
        </w:rPr>
      </w:r>
    </w:p>
    <w:p>
      <w:pPr>
        <w:pStyle w:val="Normal"/>
        <w:jc w:val="right"/>
        <w:rPr>
          <w:rFonts w:eastAsia="Calibri"/>
          <w:b/>
          <w:sz w:val="36"/>
          <w:szCs w:val="36"/>
        </w:rPr>
      </w:pPr>
      <w:r>
        <w:rPr>
          <w:rFonts w:eastAsia="Calibri"/>
          <w:b/>
          <w:sz w:val="36"/>
          <w:szCs w:val="36"/>
        </w:rPr>
      </w:r>
    </w:p>
    <w:p>
      <w:pPr>
        <w:pStyle w:val="Normal"/>
        <w:jc w:val="right"/>
        <w:rPr>
          <w:rFonts w:eastAsia="Calibri"/>
          <w:b/>
          <w:sz w:val="36"/>
          <w:szCs w:val="36"/>
        </w:rPr>
      </w:pPr>
      <w:r>
        <w:rPr>
          <w:rFonts w:eastAsia="Calibri"/>
          <w:b/>
          <w:sz w:val="36"/>
          <w:szCs w:val="36"/>
        </w:rPr>
      </w:r>
    </w:p>
    <w:p>
      <w:pPr>
        <w:pStyle w:val="Normal"/>
        <w:jc w:val="right"/>
        <w:rPr>
          <w:rFonts w:eastAsia="Calibri"/>
          <w:b/>
          <w:sz w:val="36"/>
          <w:szCs w:val="36"/>
        </w:rPr>
      </w:pPr>
      <w:r>
        <w:rPr>
          <w:rFonts w:eastAsia="Calibri"/>
          <w:b/>
          <w:sz w:val="36"/>
          <w:szCs w:val="36"/>
        </w:rPr>
      </w:r>
    </w:p>
    <w:p>
      <w:pPr>
        <w:pStyle w:val="Normal"/>
        <w:jc w:val="right"/>
        <w:rPr>
          <w:rFonts w:eastAsia="Calibri"/>
          <w:b/>
          <w:sz w:val="36"/>
          <w:szCs w:val="36"/>
        </w:rPr>
      </w:pPr>
      <w:r>
        <w:rPr>
          <w:rFonts w:eastAsia="Calibri"/>
          <w:b/>
          <w:sz w:val="36"/>
          <w:szCs w:val="36"/>
        </w:rPr>
      </w:r>
    </w:p>
    <w:p>
      <w:pPr>
        <w:pStyle w:val="Normal"/>
        <w:jc w:val="right"/>
        <w:rPr>
          <w:rFonts w:eastAsia="Calibri"/>
          <w:b/>
          <w:sz w:val="36"/>
          <w:szCs w:val="36"/>
        </w:rPr>
      </w:pPr>
      <w:r>
        <w:rPr>
          <w:rFonts w:eastAsia="Calibri"/>
          <w:b/>
          <w:sz w:val="36"/>
          <w:szCs w:val="36"/>
        </w:rPr>
      </w:r>
    </w:p>
    <w:p>
      <w:pPr>
        <w:pStyle w:val="Normal"/>
        <w:jc w:val="right"/>
        <w:rPr>
          <w:rFonts w:eastAsia="Calibri"/>
          <w:b/>
          <w:sz w:val="36"/>
          <w:szCs w:val="36"/>
        </w:rPr>
      </w:pPr>
      <w:r>
        <w:rPr>
          <w:rFonts w:eastAsia="Calibri"/>
          <w:b/>
          <w:sz w:val="36"/>
          <w:szCs w:val="36"/>
        </w:rPr>
      </w:r>
    </w:p>
    <w:p>
      <w:pPr>
        <w:pStyle w:val="Normal"/>
        <w:jc w:val="right"/>
        <w:rPr>
          <w:rFonts w:eastAsia="Calibri"/>
          <w:b/>
          <w:sz w:val="36"/>
          <w:szCs w:val="36"/>
        </w:rPr>
      </w:pPr>
      <w:r>
        <w:rPr>
          <w:rFonts w:eastAsia="Calibri"/>
          <w:b/>
          <w:sz w:val="36"/>
          <w:szCs w:val="36"/>
        </w:rPr>
      </w:r>
    </w:p>
    <w:p>
      <w:pPr>
        <w:pStyle w:val="Normal"/>
        <w:jc w:val="right"/>
        <w:rPr>
          <w:rFonts w:eastAsia="Calibri"/>
          <w:b/>
          <w:sz w:val="36"/>
          <w:szCs w:val="36"/>
        </w:rPr>
      </w:pPr>
      <w:r>
        <w:rPr>
          <w:rFonts w:eastAsia="Calibri"/>
          <w:b/>
          <w:sz w:val="36"/>
          <w:szCs w:val="36"/>
        </w:rPr>
      </w:r>
    </w:p>
    <w:p>
      <w:pPr>
        <w:pStyle w:val="Normal"/>
        <w:jc w:val="right"/>
        <w:rPr>
          <w:rFonts w:eastAsia="Calibri"/>
          <w:b/>
          <w:sz w:val="36"/>
          <w:szCs w:val="36"/>
        </w:rPr>
      </w:pPr>
      <w:r>
        <w:rPr>
          <w:rFonts w:eastAsia="Calibri"/>
          <w:b/>
          <w:sz w:val="36"/>
          <w:szCs w:val="36"/>
        </w:rPr>
      </w:r>
    </w:p>
    <w:p>
      <w:pPr>
        <w:pStyle w:val="Normal"/>
        <w:jc w:val="right"/>
        <w:rPr>
          <w:rFonts w:eastAsia="Calibri"/>
          <w:b/>
          <w:sz w:val="36"/>
          <w:szCs w:val="36"/>
        </w:rPr>
      </w:pPr>
      <w:r>
        <w:rPr>
          <w:rFonts w:eastAsia="Calibri"/>
          <w:b/>
          <w:sz w:val="36"/>
          <w:szCs w:val="36"/>
        </w:rPr>
      </w:r>
    </w:p>
    <w:p>
      <w:pPr>
        <w:pStyle w:val="Normal"/>
        <w:jc w:val="right"/>
        <w:rPr>
          <w:rFonts w:eastAsia="Calibri"/>
          <w:b/>
          <w:sz w:val="36"/>
          <w:szCs w:val="36"/>
        </w:rPr>
      </w:pPr>
      <w:r>
        <w:rPr>
          <w:rFonts w:eastAsia="Calibri"/>
          <w:b/>
          <w:sz w:val="36"/>
          <w:szCs w:val="36"/>
        </w:rPr>
      </w:r>
    </w:p>
    <w:p>
      <w:pPr>
        <w:pStyle w:val="Normal"/>
        <w:jc w:val="right"/>
        <w:rPr>
          <w:rFonts w:eastAsia="Calibri"/>
          <w:b/>
          <w:sz w:val="36"/>
          <w:szCs w:val="36"/>
        </w:rPr>
      </w:pPr>
      <w:r>
        <w:rPr>
          <w:rFonts w:eastAsia="Calibri"/>
          <w:b/>
          <w:sz w:val="36"/>
          <w:szCs w:val="36"/>
        </w:rPr>
      </w:r>
    </w:p>
    <w:p>
      <w:pPr>
        <w:pStyle w:val="Normal"/>
        <w:jc w:val="right"/>
        <w:rPr>
          <w:rFonts w:eastAsia="Calibri"/>
          <w:b/>
          <w:sz w:val="36"/>
          <w:szCs w:val="36"/>
        </w:rPr>
      </w:pPr>
      <w:r>
        <w:rPr>
          <w:rFonts w:eastAsia="Calibri"/>
          <w:b/>
          <w:sz w:val="36"/>
          <w:szCs w:val="36"/>
        </w:rPr>
      </w:r>
    </w:p>
    <w:p>
      <w:pPr>
        <w:pStyle w:val="Normal"/>
        <w:jc w:val="right"/>
        <w:rPr>
          <w:rFonts w:eastAsia="Calibri"/>
          <w:b/>
          <w:sz w:val="36"/>
          <w:szCs w:val="36"/>
        </w:rPr>
      </w:pPr>
      <w:r>
        <w:rPr>
          <w:rFonts w:eastAsia="Calibri"/>
          <w:b/>
          <w:sz w:val="36"/>
          <w:szCs w:val="36"/>
        </w:rPr>
      </w:r>
    </w:p>
    <w:p>
      <w:pPr>
        <w:pStyle w:val="Normal"/>
        <w:jc w:val="right"/>
        <w:rPr>
          <w:rFonts w:eastAsia="Calibri"/>
          <w:b/>
          <w:sz w:val="36"/>
          <w:szCs w:val="36"/>
        </w:rPr>
      </w:pPr>
      <w:r>
        <w:rPr>
          <w:rFonts w:eastAsia="Calibri"/>
          <w:b/>
          <w:sz w:val="36"/>
          <w:szCs w:val="36"/>
        </w:rPr>
      </w:r>
    </w:p>
    <w:p>
      <w:pPr>
        <w:pStyle w:val="Normal"/>
        <w:jc w:val="right"/>
        <w:rPr>
          <w:rFonts w:eastAsia="Calibri"/>
          <w:b/>
          <w:sz w:val="36"/>
          <w:szCs w:val="36"/>
        </w:rPr>
      </w:pPr>
      <w:r>
        <w:rPr>
          <w:rFonts w:eastAsia="Calibri"/>
          <w:b/>
          <w:sz w:val="36"/>
          <w:szCs w:val="36"/>
        </w:rPr>
      </w:r>
    </w:p>
    <w:p>
      <w:pPr>
        <w:pStyle w:val="Normal"/>
        <w:jc w:val="right"/>
        <w:rPr>
          <w:rFonts w:eastAsia="Calibri"/>
          <w:b/>
          <w:sz w:val="36"/>
          <w:szCs w:val="36"/>
        </w:rPr>
      </w:pPr>
      <w:r>
        <w:rPr>
          <w:rFonts w:eastAsia="Calibri"/>
          <w:b/>
          <w:sz w:val="36"/>
          <w:szCs w:val="36"/>
        </w:rPr>
      </w:r>
    </w:p>
    <w:p>
      <w:pPr>
        <w:pStyle w:val="Normal"/>
        <w:jc w:val="right"/>
        <w:rPr>
          <w:rFonts w:eastAsia="Calibri"/>
          <w:b/>
          <w:sz w:val="36"/>
          <w:szCs w:val="36"/>
        </w:rPr>
      </w:pPr>
      <w:r>
        <w:rPr>
          <w:rFonts w:eastAsia="Calibri"/>
          <w:b/>
          <w:sz w:val="36"/>
          <w:szCs w:val="36"/>
        </w:rPr>
      </w:r>
    </w:p>
    <w:p>
      <w:pPr>
        <w:pStyle w:val="Normal"/>
        <w:jc w:val="right"/>
        <w:rPr>
          <w:rFonts w:eastAsia="Calibri"/>
          <w:b/>
          <w:sz w:val="36"/>
          <w:szCs w:val="36"/>
        </w:rPr>
      </w:pPr>
      <w:r>
        <w:rPr>
          <w:rFonts w:eastAsia="Calibri"/>
          <w:b/>
          <w:sz w:val="36"/>
          <w:szCs w:val="36"/>
        </w:rPr>
      </w:r>
    </w:p>
    <w:p>
      <w:pPr>
        <w:pStyle w:val="Normal"/>
        <w:jc w:val="right"/>
        <w:rPr>
          <w:rFonts w:eastAsia="Calibri"/>
          <w:b/>
          <w:sz w:val="36"/>
          <w:szCs w:val="36"/>
        </w:rPr>
      </w:pPr>
      <w:r>
        <w:rPr>
          <w:rFonts w:eastAsia="Calibri"/>
          <w:b/>
          <w:sz w:val="36"/>
          <w:szCs w:val="36"/>
        </w:rPr>
      </w:r>
    </w:p>
    <w:p>
      <w:pPr>
        <w:pStyle w:val="Normal"/>
        <w:jc w:val="right"/>
        <w:rPr>
          <w:rFonts w:eastAsia="Calibri"/>
          <w:b/>
          <w:sz w:val="36"/>
          <w:szCs w:val="36"/>
        </w:rPr>
      </w:pPr>
      <w:r>
        <w:rPr>
          <w:rFonts w:eastAsia="Calibri"/>
          <w:b/>
          <w:sz w:val="36"/>
          <w:szCs w:val="36"/>
        </w:rPr>
      </w:r>
    </w:p>
    <w:p>
      <w:pPr>
        <w:pStyle w:val="Normal"/>
        <w:jc w:val="right"/>
        <w:rPr>
          <w:rFonts w:eastAsia="Calibri"/>
          <w:b/>
          <w:sz w:val="36"/>
          <w:szCs w:val="36"/>
        </w:rPr>
      </w:pPr>
      <w:r>
        <w:rPr>
          <w:rFonts w:eastAsia="Calibri"/>
          <w:b/>
          <w:sz w:val="36"/>
          <w:szCs w:val="36"/>
        </w:rPr>
      </w:r>
    </w:p>
    <w:p>
      <w:pPr>
        <w:pStyle w:val="Normal"/>
        <w:jc w:val="right"/>
        <w:rPr/>
      </w:pPr>
      <w:r>
        <w:rPr/>
        <w:t>Приложение №2</w:t>
      </w:r>
    </w:p>
    <w:p>
      <w:pPr>
        <w:pStyle w:val="Heading1"/>
        <w:tabs>
          <w:tab w:val="clear" w:pos="0"/>
        </w:tabs>
        <w:ind w:left="0" w:hanging="0"/>
        <w:jc w:val="center"/>
        <w:rPr/>
      </w:pPr>
      <w:bookmarkStart w:id="113" w:name="__RefHeading___Toc31062_2759022566"/>
      <w:bookmarkStart w:id="114" w:name="_Hlk125115837"/>
      <w:bookmarkStart w:id="115" w:name="_Toc125123786"/>
      <w:bookmarkStart w:id="116" w:name="_Toc54451385"/>
      <w:bookmarkEnd w:id="113"/>
      <w:r>
        <w:rPr/>
        <w:t>Требования к оформлению и составлению документации по ценообразованию</w:t>
      </w:r>
      <w:bookmarkEnd w:id="114"/>
      <w:bookmarkEnd w:id="115"/>
      <w:bookmarkEnd w:id="116"/>
    </w:p>
    <w:p>
      <w:pPr>
        <w:pStyle w:val="Normal"/>
        <w:keepNext w:val="true"/>
        <w:keepLines/>
        <w:spacing w:before="0" w:after="12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260" w:leader="none"/>
        </w:tabs>
        <w:ind w:left="1260" w:hanging="1080"/>
        <w:jc w:val="center"/>
        <w:rPr/>
      </w:pPr>
      <w:r>
        <w:rPr>
          <w:b/>
          <w:sz w:val="22"/>
          <w:szCs w:val="22"/>
        </w:rPr>
        <w:t>Раздел 1. Требования</w:t>
      </w:r>
    </w:p>
    <w:p>
      <w:pPr>
        <w:pStyle w:val="Normal"/>
        <w:tabs>
          <w:tab w:val="clear" w:pos="708"/>
          <w:tab w:val="left" w:pos="1260" w:leader="none"/>
        </w:tabs>
        <w:ind w:left="1260" w:hanging="1080"/>
        <w:jc w:val="center"/>
        <w:rPr/>
      </w:pP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к оформлению и составлению сметной документации на выполнение </w:t>
      </w:r>
    </w:p>
    <w:p>
      <w:pPr>
        <w:pStyle w:val="Normal"/>
        <w:tabs>
          <w:tab w:val="clear" w:pos="708"/>
          <w:tab w:val="left" w:pos="1260" w:leader="none"/>
        </w:tabs>
        <w:ind w:left="1260" w:hanging="1080"/>
        <w:jc w:val="center"/>
        <w:rPr/>
      </w:pPr>
      <w:r>
        <w:rPr>
          <w:b/>
          <w:sz w:val="22"/>
          <w:szCs w:val="22"/>
        </w:rPr>
        <w:t>работ при ремонте, реконструкции и техническом перевооружении.</w:t>
      </w:r>
    </w:p>
    <w:p>
      <w:pPr>
        <w:pStyle w:val="Normal"/>
        <w:tabs>
          <w:tab w:val="clear" w:pos="708"/>
          <w:tab w:val="left" w:pos="1260" w:leader="none"/>
        </w:tabs>
        <w:ind w:left="1260" w:hanging="108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numPr>
          <w:ilvl w:val="0"/>
          <w:numId w:val="22"/>
        </w:numPr>
        <w:tabs>
          <w:tab w:val="clear" w:pos="708"/>
          <w:tab w:val="left" w:pos="284" w:leader="none"/>
        </w:tabs>
        <w:spacing w:lineRule="auto" w:line="276" w:before="0" w:after="200"/>
        <w:ind w:left="284" w:firstLine="283"/>
        <w:jc w:val="both"/>
        <w:rPr/>
      </w:pPr>
      <w:r>
        <w:rPr>
          <w:sz w:val="22"/>
          <w:szCs w:val="22"/>
        </w:rPr>
        <w:t>Настоящие требования разработаны для единого подхода к оформлению и составлению сметной документации на выполнение строительно-монтажных работ при ремонте, реконструкции и техническом перевооружении.</w:t>
      </w:r>
    </w:p>
    <w:p>
      <w:pPr>
        <w:pStyle w:val="Normal"/>
        <w:numPr>
          <w:ilvl w:val="0"/>
          <w:numId w:val="22"/>
        </w:numPr>
        <w:tabs>
          <w:tab w:val="clear" w:pos="708"/>
          <w:tab w:val="left" w:pos="284" w:leader="none"/>
        </w:tabs>
        <w:spacing w:lineRule="auto" w:line="276" w:before="0" w:after="200"/>
        <w:ind w:left="284" w:firstLine="283"/>
        <w:jc w:val="both"/>
        <w:rPr/>
      </w:pPr>
      <w:r>
        <w:rPr>
          <w:sz w:val="22"/>
          <w:szCs w:val="22"/>
        </w:rPr>
        <w:t xml:space="preserve">Использование нормативов ценообразования, не зарегистрированных и не вошедших в ФРСН, </w:t>
      </w:r>
      <w:r>
        <w:rPr>
          <w:b/>
          <w:sz w:val="22"/>
          <w:szCs w:val="22"/>
          <w:u w:val="single"/>
        </w:rPr>
        <w:t>не допускается</w:t>
      </w:r>
      <w:r>
        <w:rPr>
          <w:sz w:val="22"/>
          <w:szCs w:val="22"/>
        </w:rPr>
        <w:t>, кроме случаев, прямо указанных в настоящих требованиях.</w:t>
      </w:r>
    </w:p>
    <w:p>
      <w:pPr>
        <w:pStyle w:val="Normal"/>
        <w:numPr>
          <w:ilvl w:val="0"/>
          <w:numId w:val="22"/>
        </w:numPr>
        <w:tabs>
          <w:tab w:val="clear" w:pos="708"/>
          <w:tab w:val="left" w:pos="284" w:leader="none"/>
        </w:tabs>
        <w:spacing w:lineRule="auto" w:line="276" w:before="0" w:after="200"/>
        <w:ind w:left="284" w:firstLine="283"/>
        <w:jc w:val="both"/>
        <w:rPr/>
      </w:pPr>
      <w:r>
        <w:rPr>
          <w:sz w:val="22"/>
          <w:szCs w:val="22"/>
        </w:rPr>
        <w:t xml:space="preserve">Версия программного комплекса «Гранд-Смета» (далее–ПК «Гранд-смета») </w:t>
      </w:r>
      <w:r>
        <w:rPr>
          <w:sz w:val="22"/>
          <w:szCs w:val="22"/>
          <w:u w:val="single"/>
        </w:rPr>
        <w:t>должна быть не ниже 2021</w:t>
      </w:r>
      <w:r>
        <w:rPr>
          <w:sz w:val="22"/>
          <w:szCs w:val="22"/>
        </w:rPr>
        <w:t>.2.</w:t>
      </w:r>
    </w:p>
    <w:p>
      <w:pPr>
        <w:pStyle w:val="Normal"/>
        <w:numPr>
          <w:ilvl w:val="0"/>
          <w:numId w:val="22"/>
        </w:numPr>
        <w:tabs>
          <w:tab w:val="clear" w:pos="708"/>
          <w:tab w:val="left" w:pos="284" w:leader="none"/>
        </w:tabs>
        <w:spacing w:lineRule="auto" w:line="276" w:before="0" w:after="200"/>
        <w:ind w:left="284" w:firstLine="283"/>
        <w:jc w:val="both"/>
        <w:rPr/>
      </w:pPr>
      <w:r>
        <w:rPr>
          <w:sz w:val="22"/>
          <w:szCs w:val="22"/>
        </w:rPr>
        <w:t>При составлении смет руководствоваться «Методикой определения сметной стоимости строительства»,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– Методика определения сметной стоимости строительства) с учетом изменений и дополнений.</w:t>
      </w:r>
    </w:p>
    <w:p>
      <w:pPr>
        <w:pStyle w:val="Normal"/>
        <w:numPr>
          <w:ilvl w:val="0"/>
          <w:numId w:val="22"/>
        </w:numPr>
        <w:tabs>
          <w:tab w:val="clear" w:pos="708"/>
          <w:tab w:val="left" w:pos="284" w:leader="none"/>
        </w:tabs>
        <w:spacing w:lineRule="auto" w:line="276" w:before="0" w:after="200"/>
        <w:ind w:left="284" w:firstLine="283"/>
        <w:jc w:val="both"/>
        <w:rPr/>
      </w:pPr>
      <w:r>
        <w:rPr>
          <w:sz w:val="22"/>
          <w:szCs w:val="22"/>
        </w:rPr>
        <w:t xml:space="preserve">При составлении сметной документации необходимо использовать сметно-нормативную базу «ФЕР 2020 изм.1-9». </w:t>
      </w:r>
    </w:p>
    <w:p>
      <w:pPr>
        <w:pStyle w:val="Normal"/>
        <w:numPr>
          <w:ilvl w:val="0"/>
          <w:numId w:val="22"/>
        </w:numPr>
        <w:tabs>
          <w:tab w:val="clear" w:pos="708"/>
          <w:tab w:val="left" w:pos="284" w:leader="none"/>
        </w:tabs>
        <w:spacing w:lineRule="auto" w:line="276" w:before="0" w:after="200"/>
        <w:ind w:left="284" w:firstLine="283"/>
        <w:jc w:val="both"/>
        <w:rPr/>
      </w:pPr>
      <w:r>
        <w:rPr>
          <w:sz w:val="22"/>
          <w:szCs w:val="22"/>
        </w:rPr>
        <w:t>Определение сметной стоимости работ производить базисно-индексным методом -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базисно-индексного метода, приводится в локальных сметных расчетах (далее – ЛСР), локальных сметах (далее -ЛС) в двух уровнях цен: базисном и текущем.</w:t>
      </w:r>
    </w:p>
    <w:p>
      <w:pPr>
        <w:pStyle w:val="Normal"/>
        <w:numPr>
          <w:ilvl w:val="0"/>
          <w:numId w:val="22"/>
        </w:numPr>
        <w:tabs>
          <w:tab w:val="clear" w:pos="708"/>
          <w:tab w:val="left" w:pos="284" w:leader="none"/>
        </w:tabs>
        <w:spacing w:lineRule="auto" w:line="276" w:before="0" w:after="200"/>
        <w:ind w:left="284" w:firstLine="283"/>
        <w:jc w:val="both"/>
        <w:rPr/>
      </w:pPr>
      <w:r>
        <w:rPr>
          <w:sz w:val="22"/>
          <w:szCs w:val="22"/>
        </w:rPr>
        <w:t>В случае отсутствия сметных цен на отдельные ресурсы в ФГИС ЦС и в сборниках сметных цен, включенных в ФРСН, цены на такие ресурсы принимаются по наиболее экономичному варианту (минимальному значению) по результатам конъюнктурного анализа, выполненного в соответствии с рекомендациями по Приложению № 4 к Основным положениям по сметному ценообразованию и образцу по Приложению 1 к Методическим рекомендациям по определению оптимальной стоимости материальных ресурсов, оборудования и прочих затрат (услуг) для включения в сметную документацию.</w:t>
      </w:r>
    </w:p>
    <w:p>
      <w:pPr>
        <w:pStyle w:val="Normal"/>
        <w:numPr>
          <w:ilvl w:val="0"/>
          <w:numId w:val="22"/>
        </w:numPr>
        <w:tabs>
          <w:tab w:val="clear" w:pos="708"/>
          <w:tab w:val="left" w:pos="284" w:leader="none"/>
        </w:tabs>
        <w:spacing w:lineRule="auto" w:line="276" w:before="0" w:after="200"/>
        <w:ind w:left="284" w:firstLine="283"/>
        <w:jc w:val="both"/>
        <w:rPr/>
      </w:pPr>
      <w:r>
        <w:rPr>
          <w:sz w:val="22"/>
          <w:szCs w:val="22"/>
        </w:rPr>
        <w:t xml:space="preserve">При определении сметной стоимости применять индексы к статьям прямых затрат (к сметной оплате труда, к сметной стоимости эксплуатации машин и механизмов, к сметной стоимости материалов, изделий и конструкций) по позициям ЛСР (ЛС), по объекту строительства «Прочие объекты», указанные в письме Минстроя РФ № 81879-ИФ/09 от 30.12.2025 г. - ОЗП=39,53; ЭМ=13,11; МАТ=9,4.  </w:t>
      </w:r>
    </w:p>
    <w:p>
      <w:pPr>
        <w:pStyle w:val="Normal"/>
        <w:numPr>
          <w:ilvl w:val="0"/>
          <w:numId w:val="22"/>
        </w:numPr>
        <w:tabs>
          <w:tab w:val="clear" w:pos="708"/>
          <w:tab w:val="left" w:pos="284" w:leader="none"/>
        </w:tabs>
        <w:spacing w:lineRule="auto" w:line="276" w:before="0" w:after="200"/>
        <w:ind w:left="284" w:firstLine="283"/>
        <w:jc w:val="both"/>
        <w:rPr/>
      </w:pPr>
      <w:r>
        <w:rPr>
          <w:sz w:val="22"/>
          <w:szCs w:val="22"/>
        </w:rPr>
        <w:t>При отсутствии информации о сметных нормативах на отдельные виды работ (услуг) в ФГИС ЦС и ФРСН допускается их определение по наиболее экономичному варианту (минимальному значению) по результатам конъюнктурного анализа, в соответствии с рекомендациями по Приложению №4 к Основным положениям по сметному ценообразованию и образцу по Приложению 1 к Методическим рекомендациям по определению оптимальной стоимости материальных ресурсов, оборудования и прочих затрат (услуг) для включения в сметную документацию.</w:t>
      </w:r>
    </w:p>
    <w:p>
      <w:pPr>
        <w:pStyle w:val="Normal"/>
        <w:numPr>
          <w:ilvl w:val="0"/>
          <w:numId w:val="22"/>
        </w:numPr>
        <w:tabs>
          <w:tab w:val="clear" w:pos="708"/>
          <w:tab w:val="left" w:pos="284" w:leader="none"/>
        </w:tabs>
        <w:spacing w:lineRule="auto" w:line="276" w:before="0" w:after="200"/>
        <w:ind w:left="284" w:firstLine="283"/>
        <w:jc w:val="both"/>
        <w:rPr/>
      </w:pPr>
      <w:r>
        <w:rPr>
          <w:sz w:val="22"/>
          <w:szCs w:val="22"/>
        </w:rPr>
        <w:t>Сметная цена материальных ресурсов и оборудования принимается на основании информации, размещенной в ФГИС ЦС и учитывает затраты, связанные с их приобретением (в том числе стоимость тары, упаковки, реквизита (при наличии таковых), для оборудования также –стоимости комплекта запасных частей на гарантийный срок эксплуатации), заготовительно-складские расходы, стоимость перевозки.</w:t>
      </w:r>
    </w:p>
    <w:p>
      <w:pPr>
        <w:pStyle w:val="Normal"/>
        <w:numPr>
          <w:ilvl w:val="0"/>
          <w:numId w:val="22"/>
        </w:numPr>
        <w:tabs>
          <w:tab w:val="clear" w:pos="708"/>
          <w:tab w:val="left" w:pos="284" w:leader="none"/>
        </w:tabs>
        <w:spacing w:lineRule="auto" w:line="276" w:before="0" w:after="200"/>
        <w:ind w:left="284" w:firstLine="283"/>
        <w:jc w:val="both"/>
        <w:rPr/>
      </w:pPr>
      <w:r>
        <w:rPr>
          <w:sz w:val="22"/>
          <w:szCs w:val="22"/>
        </w:rPr>
        <w:t xml:space="preserve">Стоимость материально-технических ресурсов (далее–МТР), </w:t>
      </w:r>
      <w:r>
        <w:rPr>
          <w:b/>
          <w:sz w:val="22"/>
          <w:szCs w:val="22"/>
        </w:rPr>
        <w:t>не учтенных в расценках</w:t>
      </w:r>
      <w:r>
        <w:rPr>
          <w:sz w:val="22"/>
          <w:szCs w:val="22"/>
        </w:rPr>
        <w:t>, определяется по сборнику сметных цен на материалы (далее – ССЦ), утвержденному в установленном порядке и внесенному в ФРСН. Номенклатура принимаемых по сборнику МТР должна строго соответствовать номенклатуре, определенной проектом, «применительное» использование расценок сборника не допускается.</w:t>
      </w:r>
    </w:p>
    <w:p>
      <w:pPr>
        <w:pStyle w:val="Normal"/>
        <w:numPr>
          <w:ilvl w:val="0"/>
          <w:numId w:val="22"/>
        </w:numPr>
        <w:tabs>
          <w:tab w:val="clear" w:pos="708"/>
          <w:tab w:val="left" w:pos="284" w:leader="none"/>
        </w:tabs>
        <w:spacing w:lineRule="auto" w:line="276" w:before="0" w:after="200"/>
        <w:ind w:left="284" w:firstLine="283"/>
        <w:jc w:val="both"/>
        <w:rPr/>
      </w:pPr>
      <w:r>
        <w:rPr>
          <w:sz w:val="22"/>
          <w:szCs w:val="22"/>
        </w:rPr>
        <w:t xml:space="preserve">При отсутствии информации о сметных ценах в базисном уровне по отдельным материальным ресурсам и оборудованию, их сметная цена формируется на основании расчета по наиболее экономичному варианту (минимальному значению) по результатам конъюнктурного анализа в соответствии с </w:t>
      </w:r>
      <w:r>
        <w:rPr>
          <w:color w:val="000000"/>
          <w:sz w:val="22"/>
          <w:szCs w:val="22"/>
        </w:rPr>
        <w:t>рекомендациями Приложения №4 к Основным положениям по сметному ценообразованию и образцу по Приложению 1 к Методическим рекомендациям по определению оптимальной стоимости материальных ресурсов, оборудования и прочих затрат (услуг) для включения в сметную документацию</w:t>
      </w:r>
      <w:r>
        <w:rPr>
          <w:sz w:val="22"/>
          <w:szCs w:val="22"/>
        </w:rPr>
        <w:t>.</w:t>
      </w:r>
    </w:p>
    <w:p>
      <w:pPr>
        <w:pStyle w:val="Normal"/>
        <w:numPr>
          <w:ilvl w:val="0"/>
          <w:numId w:val="22"/>
        </w:numPr>
        <w:tabs>
          <w:tab w:val="clear" w:pos="708"/>
          <w:tab w:val="left" w:pos="284" w:leader="none"/>
        </w:tabs>
        <w:spacing w:lineRule="auto" w:line="276" w:before="0" w:after="200"/>
        <w:ind w:left="284" w:firstLine="283"/>
        <w:jc w:val="both"/>
        <w:rPr/>
      </w:pPr>
      <w:r>
        <w:rPr>
          <w:color w:val="000000"/>
          <w:sz w:val="22"/>
          <w:szCs w:val="22"/>
        </w:rPr>
        <w:t>При определении сметной стоимости в 2-х уровнях цен (текущем и базисном), текущая стоимость материальных ресурсов и оборудования, определенная посредством конъюнктурного анализа на основании ТКП и РКЦ,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</w:p>
    <w:p>
      <w:pPr>
        <w:pStyle w:val="Normal"/>
        <w:numPr>
          <w:ilvl w:val="0"/>
          <w:numId w:val="22"/>
        </w:numPr>
        <w:tabs>
          <w:tab w:val="clear" w:pos="708"/>
          <w:tab w:val="left" w:pos="284" w:leader="none"/>
        </w:tabs>
        <w:spacing w:lineRule="auto" w:line="276" w:before="0" w:after="200"/>
        <w:ind w:left="284" w:firstLine="283"/>
        <w:jc w:val="both"/>
        <w:rPr/>
      </w:pPr>
      <w:r>
        <w:rPr>
          <w:sz w:val="22"/>
          <w:szCs w:val="22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</w:p>
    <w:p>
      <w:pPr>
        <w:pStyle w:val="Normal"/>
        <w:numPr>
          <w:ilvl w:val="0"/>
          <w:numId w:val="22"/>
        </w:numPr>
        <w:tabs>
          <w:tab w:val="clear" w:pos="708"/>
          <w:tab w:val="left" w:pos="284" w:leader="none"/>
        </w:tabs>
        <w:spacing w:lineRule="auto" w:line="276" w:before="0" w:after="200"/>
        <w:ind w:left="284" w:firstLine="283"/>
        <w:jc w:val="both"/>
        <w:rPr/>
      </w:pPr>
      <w:r>
        <w:rPr>
          <w:sz w:val="22"/>
          <w:szCs w:val="22"/>
        </w:rPr>
        <w:t>Транспортные затраты определяются следующими методами:</w:t>
      </w:r>
    </w:p>
    <w:p>
      <w:pPr>
        <w:pStyle w:val="Normal"/>
        <w:ind w:left="426" w:firstLine="141"/>
        <w:jc w:val="both"/>
        <w:rPr/>
      </w:pPr>
      <w:r>
        <w:rPr>
          <w:sz w:val="22"/>
          <w:szCs w:val="22"/>
        </w:rPr>
        <w:t xml:space="preserve">17.1. по доставке материальных ресурсов </w:t>
      </w:r>
    </w:p>
    <w:p>
      <w:pPr>
        <w:pStyle w:val="Normal"/>
        <w:widowControl w:val="false"/>
        <w:numPr>
          <w:ilvl w:val="0"/>
          <w:numId w:val="16"/>
        </w:numPr>
        <w:spacing w:lineRule="auto" w:line="276" w:before="0" w:after="200"/>
        <w:ind w:left="1276" w:hanging="284"/>
        <w:jc w:val="both"/>
        <w:rPr/>
      </w:pPr>
      <w:r>
        <w:rPr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>
      <w:pPr>
        <w:pStyle w:val="Normal"/>
        <w:numPr>
          <w:ilvl w:val="0"/>
          <w:numId w:val="16"/>
        </w:numPr>
        <w:spacing w:lineRule="auto" w:line="276" w:before="0" w:after="200"/>
        <w:jc w:val="both"/>
        <w:rPr/>
      </w:pPr>
      <w:r>
        <w:rPr>
          <w:sz w:val="22"/>
          <w:szCs w:val="22"/>
        </w:rPr>
        <w:t>по ТКП по результатам конъюнктурного анализа с учетом данных о стоимости услуг, полученных не менее чем от 2-х (двух) поставщиков (производителей) материальных ресурсов, при этом в ТКП отдельными строками  указываются : стоимость материальных ресурсов и стоимость доставки материальных ресурсов до места назначения (места производства работ).</w:t>
      </w:r>
    </w:p>
    <w:p>
      <w:pPr>
        <w:pStyle w:val="Normal"/>
        <w:widowControl w:val="false"/>
        <w:ind w:firstLine="720"/>
        <w:jc w:val="both"/>
        <w:rPr/>
      </w:pPr>
      <w:r>
        <w:rPr>
          <w:sz w:val="22"/>
          <w:szCs w:val="22"/>
        </w:rPr>
        <w:t>17.2.</w:t>
      </w:r>
      <w:r>
        <w:rPr>
          <w:rFonts w:cs="Arial"/>
          <w:b/>
          <w:bCs/>
          <w:sz w:val="20"/>
          <w:szCs w:val="20"/>
        </w:rPr>
        <w:t xml:space="preserve"> </w:t>
      </w:r>
      <w:r>
        <w:rPr>
          <w:b/>
          <w:bCs/>
          <w:sz w:val="22"/>
          <w:szCs w:val="22"/>
        </w:rPr>
        <w:t>по доставке оборудования</w:t>
      </w:r>
      <w:r>
        <w:rPr>
          <w:sz w:val="22"/>
          <w:szCs w:val="22"/>
        </w:rPr>
        <w:t>:</w:t>
      </w:r>
    </w:p>
    <w:p>
      <w:pPr>
        <w:pStyle w:val="Normal"/>
        <w:numPr>
          <w:ilvl w:val="0"/>
          <w:numId w:val="16"/>
        </w:numPr>
        <w:spacing w:lineRule="auto" w:line="276" w:before="0" w:after="200"/>
        <w:ind w:left="1276" w:hanging="284"/>
        <w:jc w:val="both"/>
        <w:rPr/>
      </w:pPr>
      <w:r>
        <w:rPr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>
      <w:pPr>
        <w:pStyle w:val="Normal"/>
        <w:numPr>
          <w:ilvl w:val="0"/>
          <w:numId w:val="16"/>
        </w:numPr>
        <w:spacing w:lineRule="auto" w:line="276" w:before="0" w:after="200"/>
        <w:ind w:left="1276" w:hanging="142"/>
        <w:jc w:val="both"/>
        <w:rPr/>
      </w:pPr>
      <w:r>
        <w:rPr>
          <w:sz w:val="22"/>
          <w:szCs w:val="22"/>
        </w:rPr>
        <w:t>по ТКП по результатам конъюнктурного анализа с учетом данных о стоимости услуг, полученных не менее чем от 2-х (двух) поставщиков (производителей) оборудования, при этом в ТКП отдельными строками указываются: стоимость оборудования и стоимость доставки оборудования до места назначения ( места производства работ).</w:t>
      </w:r>
    </w:p>
    <w:p>
      <w:pPr>
        <w:pStyle w:val="Normal"/>
        <w:widowControl w:val="false"/>
        <w:numPr>
          <w:ilvl w:val="0"/>
          <w:numId w:val="16"/>
        </w:numPr>
        <w:tabs>
          <w:tab w:val="clear" w:pos="708"/>
          <w:tab w:val="left" w:pos="284" w:leader="none"/>
        </w:tabs>
        <w:spacing w:lineRule="auto" w:line="276" w:before="0" w:after="200"/>
        <w:ind w:left="1276" w:hanging="284"/>
        <w:jc w:val="both"/>
        <w:rPr/>
      </w:pPr>
      <w:r>
        <w:rPr>
          <w:sz w:val="22"/>
          <w:szCs w:val="22"/>
        </w:rPr>
        <w:t>в размере до 3-х процентов от отпускной цены оборудования (при невозможности определить затраты расчетом или по результатам конъюнктурного анализа), по решению заказчика.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ind w:left="284" w:firstLine="283"/>
        <w:jc w:val="both"/>
        <w:rPr/>
      </w:pPr>
      <w:r>
        <w:rPr>
          <w:color w:val="000000"/>
          <w:sz w:val="22"/>
          <w:szCs w:val="22"/>
        </w:rPr>
        <w:t>Если транспортировка осуществляется заказчиком самостоятельно (самовывоз), данный показатель не учитывается.</w:t>
      </w:r>
    </w:p>
    <w:p>
      <w:pPr>
        <w:pStyle w:val="Normal"/>
        <w:widowControl w:val="false"/>
        <w:numPr>
          <w:ilvl w:val="0"/>
          <w:numId w:val="22"/>
        </w:numPr>
        <w:tabs>
          <w:tab w:val="clear" w:pos="708"/>
          <w:tab w:val="left" w:pos="284" w:leader="none"/>
        </w:tabs>
        <w:spacing w:lineRule="auto" w:line="276" w:before="0" w:after="200"/>
        <w:ind w:left="284" w:firstLine="283"/>
        <w:jc w:val="both"/>
        <w:rPr/>
      </w:pPr>
      <w:r>
        <w:rPr>
          <w:sz w:val="22"/>
          <w:szCs w:val="22"/>
        </w:rPr>
        <w:t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</w:p>
    <w:p>
      <w:pPr>
        <w:pStyle w:val="Normal"/>
        <w:widowControl w:val="false"/>
        <w:numPr>
          <w:ilvl w:val="0"/>
          <w:numId w:val="26"/>
        </w:numPr>
        <w:tabs>
          <w:tab w:val="clear" w:pos="708"/>
          <w:tab w:val="left" w:pos="284" w:leader="none"/>
        </w:tabs>
        <w:spacing w:lineRule="auto" w:line="276" w:before="0" w:after="200"/>
        <w:ind w:left="1418" w:hanging="284"/>
        <w:jc w:val="both"/>
        <w:rPr/>
      </w:pPr>
      <w:r>
        <w:rPr>
          <w:sz w:val="22"/>
          <w:szCs w:val="22"/>
        </w:rPr>
        <w:t>2% - для материальных ресурсов (кроме металлоконструкций);</w:t>
      </w:r>
    </w:p>
    <w:p>
      <w:pPr>
        <w:pStyle w:val="Normal"/>
        <w:widowControl w:val="false"/>
        <w:numPr>
          <w:ilvl w:val="0"/>
          <w:numId w:val="26"/>
        </w:numPr>
        <w:tabs>
          <w:tab w:val="clear" w:pos="708"/>
          <w:tab w:val="left" w:pos="284" w:leader="none"/>
        </w:tabs>
        <w:spacing w:lineRule="auto" w:line="276" w:before="0" w:after="200"/>
        <w:ind w:left="1418" w:hanging="284"/>
        <w:jc w:val="both"/>
        <w:rPr/>
      </w:pPr>
      <w:r>
        <w:rPr>
          <w:sz w:val="22"/>
          <w:szCs w:val="22"/>
        </w:rPr>
        <w:t>0,75% - для металлоконструкций;</w:t>
      </w:r>
    </w:p>
    <w:p>
      <w:pPr>
        <w:pStyle w:val="Normal"/>
        <w:widowControl w:val="false"/>
        <w:numPr>
          <w:ilvl w:val="0"/>
          <w:numId w:val="26"/>
        </w:numPr>
        <w:tabs>
          <w:tab w:val="clear" w:pos="708"/>
          <w:tab w:val="left" w:pos="284" w:leader="none"/>
        </w:tabs>
        <w:spacing w:lineRule="auto" w:line="276" w:before="0" w:after="200"/>
        <w:ind w:left="1418" w:hanging="284"/>
        <w:jc w:val="both"/>
        <w:rPr/>
      </w:pPr>
      <w:r>
        <w:rPr>
          <w:sz w:val="22"/>
          <w:szCs w:val="22"/>
        </w:rPr>
        <w:t>1,2% - для оборудования.</w:t>
      </w:r>
    </w:p>
    <w:p>
      <w:pPr>
        <w:pStyle w:val="Normal"/>
        <w:numPr>
          <w:ilvl w:val="0"/>
          <w:numId w:val="22"/>
        </w:numPr>
        <w:tabs>
          <w:tab w:val="clear" w:pos="708"/>
          <w:tab w:val="left" w:pos="284" w:leader="none"/>
        </w:tabs>
        <w:spacing w:lineRule="auto" w:line="276" w:before="0" w:after="200"/>
        <w:ind w:left="284" w:firstLine="283"/>
        <w:jc w:val="both"/>
        <w:rPr/>
      </w:pPr>
      <w:r>
        <w:rPr>
          <w:color w:val="000000"/>
          <w:sz w:val="22"/>
          <w:szCs w:val="22"/>
        </w:rPr>
        <w:t>Затраты на эксплуатацию строительной техники, не учтенной нормами и расценками, включенными в ФРСН, определяются на основании коммерческих предложений и учитываются в Главе 9 Сводного сметного расчета стоимости строительства (далее - ССРСС).</w:t>
      </w:r>
    </w:p>
    <w:p>
      <w:pPr>
        <w:pStyle w:val="Normal"/>
        <w:numPr>
          <w:ilvl w:val="0"/>
          <w:numId w:val="22"/>
        </w:numPr>
        <w:tabs>
          <w:tab w:val="clear" w:pos="708"/>
          <w:tab w:val="left" w:pos="284" w:leader="none"/>
        </w:tabs>
        <w:spacing w:lineRule="auto" w:line="276" w:before="0" w:after="200"/>
        <w:ind w:left="284" w:firstLine="283"/>
        <w:jc w:val="both"/>
        <w:rPr/>
      </w:pPr>
      <w:r>
        <w:rPr>
          <w:color w:val="000000"/>
          <w:sz w:val="22"/>
          <w:szCs w:val="22"/>
        </w:rPr>
        <w:t>При формировании сметной стоимости с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т.ч. мебель.</w:t>
      </w:r>
    </w:p>
    <w:p>
      <w:pPr>
        <w:pStyle w:val="Normal"/>
        <w:numPr>
          <w:ilvl w:val="0"/>
          <w:numId w:val="22"/>
        </w:numPr>
        <w:tabs>
          <w:tab w:val="clear" w:pos="708"/>
          <w:tab w:val="left" w:pos="284" w:leader="none"/>
        </w:tabs>
        <w:spacing w:lineRule="auto" w:line="276" w:before="0" w:after="200"/>
        <w:ind w:left="284" w:firstLine="283"/>
        <w:jc w:val="both"/>
        <w:rPr/>
      </w:pPr>
      <w:r>
        <w:rPr>
          <w:sz w:val="22"/>
          <w:szCs w:val="22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>
      <w:pPr>
        <w:pStyle w:val="Normal"/>
        <w:numPr>
          <w:ilvl w:val="0"/>
          <w:numId w:val="22"/>
        </w:numPr>
        <w:tabs>
          <w:tab w:val="clear" w:pos="708"/>
          <w:tab w:val="left" w:pos="284" w:leader="none"/>
        </w:tabs>
        <w:spacing w:lineRule="auto" w:line="276" w:before="0" w:after="200"/>
        <w:ind w:left="284" w:firstLine="283"/>
        <w:jc w:val="both"/>
        <w:rPr/>
      </w:pPr>
      <w:r>
        <w:rPr>
          <w:color w:val="000000"/>
          <w:sz w:val="22"/>
          <w:szCs w:val="22"/>
        </w:rPr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указываются попозиционно.</w:t>
      </w:r>
      <w:r>
        <w:rPr>
          <w:color w:val="FF0000"/>
          <w:sz w:val="22"/>
          <w:szCs w:val="22"/>
        </w:rPr>
        <w:t xml:space="preserve"> </w:t>
      </w:r>
      <w:r>
        <w:rPr>
          <w:sz w:val="22"/>
          <w:szCs w:val="22"/>
        </w:rPr>
        <w:t xml:space="preserve"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</w:t>
      </w:r>
      <w:r>
        <w:rPr>
          <w:color w:val="000000"/>
          <w:sz w:val="22"/>
          <w:szCs w:val="22"/>
        </w:rPr>
        <w:t>применении коэффициенты перемножаются, результат округляется до семи знаков после запятой.</w:t>
      </w:r>
    </w:p>
    <w:p>
      <w:pPr>
        <w:pStyle w:val="Normal"/>
        <w:widowControl w:val="false"/>
        <w:numPr>
          <w:ilvl w:val="0"/>
          <w:numId w:val="22"/>
        </w:numPr>
        <w:tabs>
          <w:tab w:val="clear" w:pos="708"/>
          <w:tab w:val="left" w:pos="284" w:leader="none"/>
        </w:tabs>
        <w:spacing w:lineRule="auto" w:line="276" w:before="0" w:after="200"/>
        <w:ind w:left="284" w:firstLine="283"/>
        <w:jc w:val="both"/>
        <w:rPr/>
      </w:pPr>
      <w:r>
        <w:rPr>
          <w:color w:val="000000"/>
          <w:sz w:val="22"/>
          <w:szCs w:val="22"/>
        </w:rPr>
        <w:t>При внесении изменений в сметную документацию разрабатывается сводный сметный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 корректировки (исключаемых и дополнительных). По решению заказчика дополнительно может быть разработан отдельный сводный сметный расчет, определяющий сметную стоимость изменений. Локальные сметные расчеты (сметы) разрабатываются отдельно на исключаемые и дополнительные объемы работ.</w:t>
      </w:r>
    </w:p>
    <w:p>
      <w:pPr>
        <w:pStyle w:val="Normal"/>
        <w:numPr>
          <w:ilvl w:val="0"/>
          <w:numId w:val="22"/>
        </w:numPr>
        <w:tabs>
          <w:tab w:val="clear" w:pos="708"/>
          <w:tab w:val="left" w:pos="284" w:leader="none"/>
        </w:tabs>
        <w:spacing w:lineRule="auto" w:line="276" w:before="0" w:after="200"/>
        <w:ind w:left="284" w:firstLine="283"/>
        <w:jc w:val="both"/>
        <w:rPr/>
      </w:pPr>
      <w:r>
        <w:rPr>
          <w:sz w:val="22"/>
          <w:szCs w:val="22"/>
        </w:rPr>
        <w:t>Резерв средств на непредвиденные работы и затраты определять в ТТ и начислять в смете в процентах в размере, указанном в утвержденных ТТ. Порядок расчета за непредвиденные работы и затраты оговаривать в договоре подряда.</w:t>
      </w:r>
    </w:p>
    <w:p>
      <w:pPr>
        <w:pStyle w:val="Normal"/>
        <w:numPr>
          <w:ilvl w:val="0"/>
          <w:numId w:val="22"/>
        </w:numPr>
        <w:tabs>
          <w:tab w:val="clear" w:pos="708"/>
          <w:tab w:val="left" w:pos="284" w:leader="none"/>
        </w:tabs>
        <w:spacing w:lineRule="auto" w:line="276" w:before="0" w:after="200"/>
        <w:ind w:left="284" w:firstLine="283"/>
        <w:jc w:val="both"/>
        <w:rPr/>
      </w:pPr>
      <w:r>
        <w:rPr>
          <w:sz w:val="22"/>
          <w:szCs w:val="22"/>
        </w:rPr>
        <w:t>В ЛСР (ЛС)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документов, внесенных в ФРСН.</w:t>
      </w:r>
    </w:p>
    <w:p>
      <w:pPr>
        <w:pStyle w:val="Normal"/>
        <w:numPr>
          <w:ilvl w:val="0"/>
          <w:numId w:val="22"/>
        </w:numPr>
        <w:tabs>
          <w:tab w:val="clear" w:pos="708"/>
          <w:tab w:val="left" w:pos="284" w:leader="none"/>
        </w:tabs>
        <w:spacing w:lineRule="auto" w:line="276" w:before="0" w:after="200"/>
        <w:ind w:left="284" w:firstLine="283"/>
        <w:jc w:val="both"/>
        <w:rPr/>
      </w:pPr>
      <w:r>
        <w:rPr>
          <w:sz w:val="22"/>
          <w:szCs w:val="22"/>
        </w:rPr>
        <w:t>В ЛСР (ЛС) указывать величину сметной прибыли по видам строительных, ремонтно-строительных, монтажных и пусконаладочных работ, на основании актуальных нормативных документов, внесенных в ФРСН.</w:t>
      </w:r>
    </w:p>
    <w:p>
      <w:pPr>
        <w:pStyle w:val="Normal"/>
        <w:numPr>
          <w:ilvl w:val="0"/>
          <w:numId w:val="22"/>
        </w:numPr>
        <w:tabs>
          <w:tab w:val="clear" w:pos="708"/>
          <w:tab w:val="left" w:pos="284" w:leader="none"/>
        </w:tabs>
        <w:spacing w:lineRule="auto" w:line="276" w:before="0" w:after="200"/>
        <w:ind w:left="284" w:firstLine="283"/>
        <w:jc w:val="both"/>
        <w:rPr/>
      </w:pPr>
      <w:r>
        <w:rPr>
          <w:sz w:val="22"/>
          <w:szCs w:val="22"/>
        </w:rPr>
        <w:t xml:space="preserve">Сметная стоимость пусконаладочных работ определяется на основании утвержденных заказчиком программы и графика.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>
        <w:rPr>
          <w:sz w:val="22"/>
          <w:szCs w:val="22"/>
          <w:lang w:val="en-US"/>
        </w:rPr>
        <w:t>VII</w:t>
      </w:r>
      <w:r>
        <w:rPr>
          <w:sz w:val="22"/>
          <w:szCs w:val="22"/>
        </w:rPr>
        <w:t xml:space="preserve">. Методики определения сметной стоимости строительства: </w:t>
      </w:r>
    </w:p>
    <w:p>
      <w:pPr>
        <w:pStyle w:val="Normal"/>
        <w:widowControl w:val="false"/>
        <w:numPr>
          <w:ilvl w:val="0"/>
          <w:numId w:val="24"/>
        </w:numPr>
        <w:tabs>
          <w:tab w:val="clear" w:pos="708"/>
          <w:tab w:val="left" w:pos="851" w:leader="none"/>
        </w:tabs>
        <w:spacing w:lineRule="auto" w:line="276" w:before="0" w:after="200"/>
        <w:ind w:left="851" w:hanging="284"/>
        <w:jc w:val="both"/>
        <w:rPr/>
      </w:pPr>
      <w:r>
        <w:rPr>
          <w:sz w:val="22"/>
          <w:szCs w:val="22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>
      <w:pPr>
        <w:pStyle w:val="Normal"/>
        <w:widowControl w:val="false"/>
        <w:numPr>
          <w:ilvl w:val="0"/>
          <w:numId w:val="24"/>
        </w:numPr>
        <w:tabs>
          <w:tab w:val="clear" w:pos="708"/>
          <w:tab w:val="left" w:pos="851" w:leader="none"/>
        </w:tabs>
        <w:spacing w:lineRule="auto" w:line="276" w:before="0" w:after="200"/>
        <w:ind w:left="851" w:hanging="284"/>
        <w:jc w:val="both"/>
        <w:rPr/>
      </w:pPr>
      <w:r>
        <w:rPr>
          <w:sz w:val="22"/>
          <w:szCs w:val="22"/>
        </w:rPr>
        <w:t xml:space="preserve">Пусконаладочные работы «под нагрузкой» для объектов производственного и непроизводственного назначения, связанных с получением дохода от реализации товаров (услуг не относятся на сметную стоимость строительства и в сметной документации не учитываются. 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ind w:left="284" w:firstLine="283"/>
        <w:jc w:val="both"/>
        <w:rPr/>
      </w:pPr>
      <w:r>
        <w:rPr>
          <w:sz w:val="22"/>
          <w:szCs w:val="22"/>
        </w:rPr>
        <w:t xml:space="preserve">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заказчиком. Данные работы оформляются отдельными локальными сметами </w:t>
      </w:r>
      <w:r>
        <w:rPr>
          <w:color w:val="000000"/>
          <w:sz w:val="22"/>
          <w:szCs w:val="22"/>
        </w:rPr>
        <w:t>и включаются в ССРСС.</w:t>
      </w:r>
    </w:p>
    <w:p>
      <w:pPr>
        <w:pStyle w:val="Normal"/>
        <w:numPr>
          <w:ilvl w:val="0"/>
          <w:numId w:val="22"/>
        </w:numPr>
        <w:tabs>
          <w:tab w:val="clear" w:pos="708"/>
          <w:tab w:val="left" w:pos="284" w:leader="none"/>
        </w:tabs>
        <w:spacing w:lineRule="auto" w:line="276" w:before="0" w:after="200"/>
        <w:ind w:left="284" w:firstLine="283"/>
        <w:jc w:val="both"/>
        <w:rPr/>
      </w:pPr>
      <w:r>
        <w:rPr>
          <w:sz w:val="22"/>
          <w:szCs w:val="22"/>
        </w:rPr>
        <w:t>Стоимость шеф - монтажных и шеф - наладочных работ включается в сметную стоимость оборудования и может определяться отдельными расчетами. Расчет стоимости шеф - 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 (</w:t>
      </w:r>
      <w:r>
        <w:rPr>
          <w:color w:val="000000"/>
          <w:sz w:val="22"/>
          <w:szCs w:val="22"/>
        </w:rPr>
        <w:t>образец формы расчета представлен в Приложении № 2 к Требованиям к оформлению и составлению сметной документации на выполнение строительно-монтажных работ при новом строительстве, по программе ремонтов, реконструкции и техническому перевооружению).</w:t>
      </w:r>
      <w:r>
        <w:rPr>
          <w:sz w:val="22"/>
          <w:szCs w:val="22"/>
        </w:rPr>
        <w:t xml:space="preserve"> Участник (подрядчик, контрагент) представляет смету на шеф-монтажные работы в соответствии с графиком выполнения работ.</w:t>
      </w:r>
    </w:p>
    <w:p>
      <w:pPr>
        <w:pStyle w:val="Normal"/>
        <w:numPr>
          <w:ilvl w:val="0"/>
          <w:numId w:val="22"/>
        </w:numPr>
        <w:tabs>
          <w:tab w:val="clear" w:pos="708"/>
          <w:tab w:val="left" w:pos="284" w:leader="none"/>
        </w:tabs>
        <w:spacing w:lineRule="auto" w:line="276" w:before="0" w:after="200"/>
        <w:ind w:left="284" w:firstLine="283"/>
        <w:jc w:val="both"/>
        <w:rPr/>
      </w:pPr>
      <w:r>
        <w:rPr>
          <w:sz w:val="22"/>
          <w:szCs w:val="22"/>
        </w:rPr>
        <w:t xml:space="preserve">Стоимость дополнительных затрат по поставке и изготовлению оборудования, в том числе на доводку (доработку и укрупнительную сборку) включается в стоимость оборудования и дополнительно не оплачивается.  </w:t>
      </w:r>
    </w:p>
    <w:p>
      <w:pPr>
        <w:pStyle w:val="Normal"/>
        <w:numPr>
          <w:ilvl w:val="0"/>
          <w:numId w:val="22"/>
        </w:numPr>
        <w:tabs>
          <w:tab w:val="clear" w:pos="708"/>
          <w:tab w:val="left" w:pos="284" w:leader="none"/>
        </w:tabs>
        <w:spacing w:lineRule="auto" w:line="276" w:before="0" w:after="200"/>
        <w:ind w:left="284" w:firstLine="283"/>
        <w:jc w:val="both"/>
        <w:rPr/>
      </w:pPr>
      <w:r>
        <w:rPr>
          <w:color w:val="000000"/>
          <w:sz w:val="22"/>
          <w:szCs w:val="22"/>
        </w:rPr>
        <w:t xml:space="preserve">При необходимости учета командировочных расходов в сметной документации составляется расчет. Размер суточных командировочных расходов определяется в соответствии с законодательством РФ и с учетом норм, определяемых внутренним документом организации. </w:t>
      </w:r>
    </w:p>
    <w:p>
      <w:pPr>
        <w:pStyle w:val="Normal"/>
        <w:tabs>
          <w:tab w:val="clear" w:pos="708"/>
          <w:tab w:val="left" w:pos="284" w:leader="none"/>
          <w:tab w:val="left" w:pos="993" w:leader="none"/>
        </w:tabs>
        <w:ind w:left="284" w:firstLine="283"/>
        <w:jc w:val="both"/>
        <w:rPr/>
      </w:pPr>
      <w:r>
        <w:rPr>
          <w:color w:val="000000"/>
          <w:sz w:val="22"/>
          <w:szCs w:val="22"/>
        </w:rPr>
        <w:t>Лимиты командировочных расходов при производстве СМР и ПНР по статьям затрат следующие: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8"/>
          <w:tab w:val="left" w:pos="851" w:leader="none"/>
        </w:tabs>
        <w:spacing w:lineRule="auto" w:line="276" w:before="0" w:after="200"/>
        <w:ind w:left="851" w:hanging="284"/>
        <w:jc w:val="both"/>
        <w:rPr/>
      </w:pPr>
      <w:r>
        <w:rPr>
          <w:color w:val="000000"/>
          <w:sz w:val="22"/>
          <w:szCs w:val="22"/>
        </w:rPr>
        <w:t>суточные – 700 руб./сутки;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8"/>
          <w:tab w:val="left" w:pos="851" w:leader="none"/>
        </w:tabs>
        <w:spacing w:lineRule="auto" w:line="276" w:before="0" w:after="200"/>
        <w:ind w:left="851" w:hanging="284"/>
        <w:jc w:val="both"/>
        <w:rPr/>
      </w:pPr>
      <w:r>
        <w:rPr>
          <w:color w:val="000000"/>
          <w:sz w:val="22"/>
          <w:szCs w:val="22"/>
        </w:rPr>
        <w:t>проживание – 400 руб./сутки;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8"/>
          <w:tab w:val="left" w:pos="851" w:leader="none"/>
        </w:tabs>
        <w:spacing w:lineRule="auto" w:line="276" w:before="0" w:after="200"/>
        <w:ind w:left="851" w:hanging="284"/>
        <w:jc w:val="both"/>
        <w:rPr/>
      </w:pPr>
      <w:r>
        <w:rPr>
          <w:color w:val="000000"/>
          <w:sz w:val="22"/>
          <w:szCs w:val="22"/>
        </w:rPr>
        <w:t>проезд: поезд (купе) или самолет (класс–эконом с багажом до 20 (двадцати) кг, ручная кладь до 10 (десяти) кг).</w:t>
      </w:r>
    </w:p>
    <w:p>
      <w:pPr>
        <w:pStyle w:val="Normal"/>
        <w:numPr>
          <w:ilvl w:val="0"/>
          <w:numId w:val="22"/>
        </w:numPr>
        <w:tabs>
          <w:tab w:val="clear" w:pos="708"/>
          <w:tab w:val="left" w:pos="284" w:leader="none"/>
        </w:tabs>
        <w:spacing w:lineRule="auto" w:line="276" w:before="0" w:after="200"/>
        <w:ind w:left="284" w:firstLine="283"/>
        <w:jc w:val="both"/>
        <w:rPr/>
      </w:pPr>
      <w:r>
        <w:rPr>
          <w:sz w:val="22"/>
          <w:szCs w:val="22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>
      <w:pPr>
        <w:pStyle w:val="Normal"/>
        <w:numPr>
          <w:ilvl w:val="0"/>
          <w:numId w:val="22"/>
        </w:numPr>
        <w:tabs>
          <w:tab w:val="clear" w:pos="708"/>
          <w:tab w:val="left" w:pos="284" w:leader="none"/>
        </w:tabs>
        <w:spacing w:lineRule="auto" w:line="276" w:before="0" w:after="200"/>
        <w:ind w:left="284" w:firstLine="283"/>
        <w:jc w:val="both"/>
        <w:rPr/>
      </w:pPr>
      <w:bookmarkStart w:id="117" w:name="_Ref19086149"/>
      <w:r>
        <w:rPr>
          <w:sz w:val="22"/>
          <w:szCs w:val="22"/>
        </w:rPr>
        <w:t xml:space="preserve">В локальных сметных расчетах построчные и итоговые суммы </w:t>
      </w:r>
      <w:r>
        <w:rPr>
          <w:b/>
          <w:sz w:val="22"/>
          <w:szCs w:val="22"/>
          <w:u w:val="single"/>
        </w:rPr>
        <w:t>округлять:</w:t>
      </w:r>
      <w:bookmarkEnd w:id="117"/>
    </w:p>
    <w:p>
      <w:pPr>
        <w:pStyle w:val="Normal"/>
        <w:widowControl w:val="false"/>
        <w:numPr>
          <w:ilvl w:val="0"/>
          <w:numId w:val="25"/>
        </w:numPr>
        <w:tabs>
          <w:tab w:val="clear" w:pos="708"/>
          <w:tab w:val="left" w:pos="851" w:leader="none"/>
        </w:tabs>
        <w:spacing w:lineRule="auto" w:line="276" w:before="0" w:after="200"/>
        <w:ind w:left="851" w:hanging="284"/>
        <w:jc w:val="both"/>
        <w:rPr/>
      </w:pPr>
      <w:r>
        <w:rPr>
          <w:sz w:val="22"/>
          <w:szCs w:val="22"/>
        </w:rPr>
        <w:t xml:space="preserve">при базисно-индексном методе до </w:t>
      </w:r>
      <w:r>
        <w:rPr>
          <w:b/>
          <w:sz w:val="22"/>
          <w:szCs w:val="22"/>
        </w:rPr>
        <w:t>двух знаков</w:t>
      </w:r>
      <w:r>
        <w:rPr>
          <w:sz w:val="22"/>
          <w:szCs w:val="22"/>
        </w:rPr>
        <w:t xml:space="preserve"> после запятой (до копеек);</w:t>
      </w:r>
    </w:p>
    <w:p>
      <w:pPr>
        <w:pStyle w:val="Normal"/>
        <w:widowControl w:val="false"/>
        <w:numPr>
          <w:ilvl w:val="0"/>
          <w:numId w:val="25"/>
        </w:numPr>
        <w:tabs>
          <w:tab w:val="clear" w:pos="708"/>
          <w:tab w:val="left" w:pos="851" w:leader="none"/>
        </w:tabs>
        <w:spacing w:lineRule="auto" w:line="276" w:before="0" w:after="200"/>
        <w:ind w:left="851" w:hanging="284"/>
        <w:jc w:val="both"/>
        <w:rPr/>
      </w:pPr>
      <w:r>
        <w:rPr>
          <w:sz w:val="22"/>
          <w:szCs w:val="22"/>
        </w:rPr>
        <w:t xml:space="preserve">в объектных сметных расчетах (сметах), сводном сметном расчете стоимости строительства и сводке затрат - </w:t>
      </w:r>
      <w:r>
        <w:rPr>
          <w:b/>
          <w:sz w:val="22"/>
          <w:szCs w:val="22"/>
        </w:rPr>
        <w:t>рублях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до двух знаков</w:t>
      </w:r>
      <w:r>
        <w:rPr>
          <w:sz w:val="22"/>
          <w:szCs w:val="22"/>
        </w:rPr>
        <w:t xml:space="preserve"> после запятой. Величину НДС не указывать.</w:t>
      </w:r>
    </w:p>
    <w:p>
      <w:pPr>
        <w:pStyle w:val="Normal"/>
        <w:numPr>
          <w:ilvl w:val="0"/>
          <w:numId w:val="22"/>
        </w:numPr>
        <w:tabs>
          <w:tab w:val="clear" w:pos="708"/>
          <w:tab w:val="left" w:pos="284" w:leader="none"/>
        </w:tabs>
        <w:spacing w:lineRule="auto" w:line="276" w:before="0" w:after="200"/>
        <w:ind w:left="284" w:firstLine="283"/>
        <w:jc w:val="both"/>
        <w:rPr/>
      </w:pPr>
      <w:r>
        <w:rPr>
          <w:sz w:val="22"/>
          <w:szCs w:val="22"/>
        </w:rPr>
        <w:t xml:space="preserve">Выходные формы сметных расчетов должны соответствовать Образцам в соответствии с приложениями Методики определения сметной стоимости строительства . </w:t>
      </w:r>
    </w:p>
    <w:p>
      <w:pPr>
        <w:pStyle w:val="Normal"/>
        <w:numPr>
          <w:ilvl w:val="0"/>
          <w:numId w:val="22"/>
        </w:numPr>
        <w:tabs>
          <w:tab w:val="clear" w:pos="708"/>
          <w:tab w:val="left" w:pos="284" w:leader="none"/>
        </w:tabs>
        <w:spacing w:lineRule="auto" w:line="276" w:before="0" w:after="200"/>
        <w:ind w:left="284" w:firstLine="283"/>
        <w:jc w:val="both"/>
        <w:rPr/>
      </w:pPr>
      <w:r>
        <w:rPr>
          <w:sz w:val="22"/>
          <w:szCs w:val="22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>
      <w:pPr>
        <w:pStyle w:val="Normal"/>
        <w:numPr>
          <w:ilvl w:val="0"/>
          <w:numId w:val="22"/>
        </w:numPr>
        <w:tabs>
          <w:tab w:val="clear" w:pos="708"/>
          <w:tab w:val="left" w:pos="284" w:leader="none"/>
        </w:tabs>
        <w:spacing w:lineRule="auto" w:line="276" w:before="0" w:after="200"/>
        <w:ind w:left="284" w:firstLine="283"/>
        <w:jc w:val="both"/>
        <w:rPr/>
      </w:pPr>
      <w:r>
        <w:rPr>
          <w:sz w:val="22"/>
          <w:szCs w:val="22"/>
        </w:rPr>
        <w:t xml:space="preserve">ССРСС разрабатывается на объект строительства и (или) этап строительства на основании итоговых стоимостных показателей объектных и (или) локальных сметных расчетов (смет), а также сметных расчетов на отдельные виды затрат в текущем уровне цен. ССРСС составляется при наличии двух и более смет. Обязательными приложениями к ССРСС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Наименование и нумерация глав сводного сметного расчета не подлежат корректировке вне зависимости от состава включаемых затрат. В случае отсутствия затрат, предусматриваемых соответствующей главой сводного сметного расчета, эта глава пропускается без изменения номеров последующих глав. Формат ССРСС выполнять по Образцу </w:t>
      </w:r>
      <w:r>
        <w:rPr>
          <w:color w:val="000000"/>
          <w:sz w:val="22"/>
          <w:szCs w:val="22"/>
        </w:rPr>
        <w:t>Приложения № 1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перевооружению.</w:t>
      </w:r>
    </w:p>
    <w:p>
      <w:pPr>
        <w:pStyle w:val="Normal"/>
        <w:numPr>
          <w:ilvl w:val="0"/>
          <w:numId w:val="22"/>
        </w:numPr>
        <w:tabs>
          <w:tab w:val="clear" w:pos="708"/>
          <w:tab w:val="left" w:pos="284" w:leader="none"/>
        </w:tabs>
        <w:spacing w:lineRule="auto" w:line="276" w:before="0" w:after="200"/>
        <w:ind w:left="284" w:firstLine="283"/>
        <w:jc w:val="both"/>
        <w:rPr/>
      </w:pPr>
      <w:r>
        <w:rPr>
          <w:sz w:val="22"/>
          <w:szCs w:val="22"/>
        </w:rPr>
        <w:t>Сметная документация должна быть представлена в двух вариантах:</w:t>
      </w:r>
    </w:p>
    <w:p>
      <w:pPr>
        <w:pStyle w:val="Normal"/>
        <w:numPr>
          <w:ilvl w:val="0"/>
          <w:numId w:val="23"/>
        </w:numPr>
        <w:tabs>
          <w:tab w:val="clear" w:pos="708"/>
          <w:tab w:val="left" w:pos="851" w:leader="none"/>
        </w:tabs>
        <w:spacing w:lineRule="auto" w:line="276" w:before="0" w:after="200"/>
        <w:ind w:left="851" w:hanging="284"/>
        <w:jc w:val="both"/>
        <w:rPr/>
      </w:pPr>
      <w:r>
        <w:rPr>
          <w:sz w:val="22"/>
          <w:szCs w:val="22"/>
        </w:rPr>
        <w:t>на бумажном носителе (количество указано в конкурсной документации);</w:t>
      </w:r>
    </w:p>
    <w:p>
      <w:pPr>
        <w:pStyle w:val="Normal"/>
        <w:numPr>
          <w:ilvl w:val="0"/>
          <w:numId w:val="23"/>
        </w:numPr>
        <w:tabs>
          <w:tab w:val="clear" w:pos="708"/>
          <w:tab w:val="left" w:pos="851" w:leader="none"/>
        </w:tabs>
        <w:spacing w:lineRule="auto" w:line="276" w:before="0" w:after="200"/>
        <w:ind w:left="851" w:hanging="284"/>
        <w:jc w:val="both"/>
        <w:rPr/>
      </w:pPr>
      <w:r>
        <w:rPr>
          <w:sz w:val="22"/>
          <w:szCs w:val="22"/>
        </w:rPr>
        <w:t>на электронном носителе (в форматах «</w:t>
      </w:r>
      <w:r>
        <w:rPr>
          <w:sz w:val="22"/>
          <w:szCs w:val="22"/>
          <w:lang w:val="en-US"/>
        </w:rPr>
        <w:t>xml</w:t>
      </w:r>
      <w:r>
        <w:rPr>
          <w:sz w:val="22"/>
          <w:szCs w:val="22"/>
        </w:rPr>
        <w:t>»,</w:t>
      </w:r>
      <w:r>
        <w:rPr>
          <w:color w:val="2E74B5"/>
          <w:sz w:val="22"/>
          <w:szCs w:val="22"/>
        </w:rPr>
        <w:t xml:space="preserve"> </w:t>
      </w:r>
      <w:r>
        <w:rPr>
          <w:sz w:val="22"/>
          <w:szCs w:val="22"/>
        </w:rPr>
        <w:t>ПК «Гранд-Смета», «Excel», «</w:t>
      </w:r>
      <w:r>
        <w:rPr>
          <w:sz w:val="22"/>
          <w:szCs w:val="22"/>
          <w:lang w:val="en-US"/>
        </w:rPr>
        <w:t>pdf</w:t>
      </w:r>
      <w:r>
        <w:rPr>
          <w:sz w:val="22"/>
          <w:szCs w:val="22"/>
        </w:rPr>
        <w:t>»), полностью соответствующему бумажному варианту;</w:t>
      </w:r>
    </w:p>
    <w:p>
      <w:pPr>
        <w:pStyle w:val="Normal"/>
        <w:numPr>
          <w:ilvl w:val="0"/>
          <w:numId w:val="23"/>
        </w:numPr>
        <w:tabs>
          <w:tab w:val="clear" w:pos="708"/>
          <w:tab w:val="left" w:pos="851" w:leader="none"/>
        </w:tabs>
        <w:spacing w:lineRule="auto" w:line="276" w:before="0" w:after="200"/>
        <w:ind w:left="851" w:hanging="284"/>
        <w:jc w:val="both"/>
        <w:rPr/>
      </w:pPr>
      <w:r>
        <w:rPr>
          <w:sz w:val="22"/>
          <w:szCs w:val="22"/>
        </w:rPr>
        <w:t>сметная документация в формате «Exce</w:t>
      </w:r>
      <w:r>
        <w:rPr>
          <w:sz w:val="22"/>
          <w:szCs w:val="22"/>
          <w:lang w:val="en-US"/>
        </w:rPr>
        <w:t>l</w:t>
      </w:r>
      <w:r>
        <w:rPr>
          <w:sz w:val="22"/>
          <w:szCs w:val="22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>
      <w:pPr>
        <w:pStyle w:val="Normal"/>
        <w:numPr>
          <w:ilvl w:val="0"/>
          <w:numId w:val="22"/>
        </w:numPr>
        <w:tabs>
          <w:tab w:val="clear" w:pos="708"/>
          <w:tab w:val="left" w:pos="284" w:leader="none"/>
        </w:tabs>
        <w:spacing w:lineRule="auto" w:line="276" w:before="0" w:after="200"/>
        <w:jc w:val="both"/>
        <w:rPr/>
      </w:pPr>
      <w:r>
        <w:rPr>
          <w:sz w:val="22"/>
          <w:szCs w:val="22"/>
        </w:rPr>
        <w:t>Сметная документация должна быть представлена в двух вариантах: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8"/>
          <w:tab w:val="left" w:pos="284" w:leader="none"/>
        </w:tabs>
        <w:spacing w:lineRule="auto" w:line="276" w:before="0" w:after="200"/>
        <w:ind w:left="284" w:firstLine="283"/>
        <w:jc w:val="both"/>
        <w:rPr/>
      </w:pPr>
      <w:r>
        <w:rPr>
          <w:sz w:val="22"/>
          <w:szCs w:val="22"/>
        </w:rPr>
        <w:t>на бумажном носителе (количество указано в конкурсной документации);</w:t>
      </w:r>
    </w:p>
    <w:p>
      <w:pPr>
        <w:pStyle w:val="Normal"/>
        <w:numPr>
          <w:ilvl w:val="0"/>
          <w:numId w:val="14"/>
        </w:numPr>
        <w:tabs>
          <w:tab w:val="clear" w:pos="708"/>
          <w:tab w:val="left" w:pos="284" w:leader="none"/>
        </w:tabs>
        <w:spacing w:lineRule="auto" w:line="276" w:before="0" w:after="200"/>
        <w:ind w:left="284" w:firstLine="283"/>
        <w:jc w:val="both"/>
        <w:rPr/>
      </w:pPr>
      <w:r>
        <w:rPr>
          <w:color w:val="000000"/>
          <w:sz w:val="22"/>
          <w:szCs w:val="22"/>
        </w:rPr>
        <w:t>на электронном носителе (в формате «xml» ПК «Гранд-Смета», «Excel», «pdf»),</w:t>
      </w:r>
      <w:r>
        <w:rPr>
          <w:sz w:val="22"/>
          <w:szCs w:val="22"/>
        </w:rPr>
        <w:t xml:space="preserve"> полностью соответствующему, бумажному варианту. Сметная документация в формате «Exce</w:t>
      </w:r>
      <w:r>
        <w:rPr>
          <w:sz w:val="22"/>
          <w:szCs w:val="22"/>
          <w:lang w:val="en-US"/>
        </w:rPr>
        <w:t>l</w:t>
      </w:r>
      <w:r>
        <w:rPr>
          <w:sz w:val="22"/>
          <w:szCs w:val="22"/>
        </w:rPr>
        <w:t>» должна быть представлена в одном файле с внесением ССР, ЛСР и других расчетов на отдельные листы (вкладки) документа.</w:t>
      </w:r>
    </w:p>
    <w:p>
      <w:pPr>
        <w:pStyle w:val="Normal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jc w:val="center"/>
        <w:rPr/>
      </w:pPr>
      <w:r>
        <w:rPr>
          <w:b/>
          <w:sz w:val="22"/>
          <w:szCs w:val="22"/>
        </w:rPr>
        <w:t>Раздел 2. Требования к оформлению и составлению сводного сметного расчета</w:t>
      </w:r>
    </w:p>
    <w:p>
      <w:pPr>
        <w:pStyle w:val="Normal"/>
        <w:jc w:val="center"/>
        <w:rPr/>
      </w:pP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к договорам при ремонте, реконструкции и техническом перевооружении.</w:t>
      </w:r>
    </w:p>
    <w:p>
      <w:pPr>
        <w:pStyle w:val="Normal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jc w:val="both"/>
        <w:rPr/>
      </w:pPr>
      <w:r>
        <w:rPr>
          <w:color w:val="000000"/>
          <w:sz w:val="22"/>
          <w:szCs w:val="22"/>
        </w:rPr>
        <w:t xml:space="preserve">            </w:t>
      </w:r>
      <w:r>
        <w:rPr>
          <w:color w:val="000000"/>
          <w:sz w:val="22"/>
          <w:szCs w:val="22"/>
        </w:rPr>
        <w:t xml:space="preserve">При наличии двух и более сметных расчетов составлять ССРСС в текущем уровне цен по форме Приложения № 1 к Требованиям к оформлению и составлению сметной документации на выполнение строительно-монтажных работ при ремонте, реконструкции и техническом перевооружении. В случае заключений дополнительных соглашений к договору (далее - д/с), ССРСС необходимо выполнять в накопительной форме с учетом ЛСР (ЛС) к основному договору и ко всем заключенным д/с к нему. В итогах ССР (справочно) указывать суммы изменения (уменьшения, увеличения) основного договора на основании заключения д/с, которые определяются как разница между суммой ССР очередного д/с и стоимостью основного договора. Форма ССРСС с учетом заключения д/с к договору приведена в Приложении № 2 к Требованиям к оформлению и составлению сметной документации на выполнение строительно-монтажных работ  по программе ремонтов, реконструкции и техническому перевооружению. </w:t>
      </w:r>
    </w:p>
    <w:p>
      <w:pPr>
        <w:pStyle w:val="Normal"/>
        <w:numPr>
          <w:ilvl w:val="0"/>
          <w:numId w:val="15"/>
        </w:numPr>
        <w:tabs>
          <w:tab w:val="clear" w:pos="708"/>
          <w:tab w:val="left" w:pos="993" w:leader="none"/>
        </w:tabs>
        <w:spacing w:lineRule="auto" w:line="276" w:before="0" w:after="200"/>
        <w:ind w:left="0" w:firstLine="567"/>
        <w:jc w:val="both"/>
        <w:rPr/>
      </w:pPr>
      <w:r>
        <w:rPr>
          <w:rFonts w:cs="Arial"/>
          <w:color w:val="000000"/>
          <w:sz w:val="22"/>
          <w:szCs w:val="20"/>
        </w:rPr>
        <w:t xml:space="preserve"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3 и 4 </w:t>
      </w:r>
      <w:r>
        <w:rPr>
          <w:color w:val="000000"/>
          <w:sz w:val="22"/>
          <w:szCs w:val="22"/>
        </w:rPr>
        <w:t xml:space="preserve">к Требованиям </w:t>
      </w:r>
      <w:r>
        <w:rPr>
          <w:rFonts w:cs="Arial"/>
          <w:color w:val="000000"/>
          <w:sz w:val="22"/>
          <w:szCs w:val="20"/>
        </w:rPr>
        <w:t xml:space="preserve">к оформлению и составлению </w:t>
      </w:r>
      <w:r>
        <w:rPr>
          <w:color w:val="000000"/>
          <w:sz w:val="22"/>
          <w:szCs w:val="22"/>
        </w:rPr>
        <w:t xml:space="preserve">сметной документации на выполнение строительно-монтажных работ по программе ремонтов, реконструкции и техническому перевооружению. </w:t>
      </w:r>
    </w:p>
    <w:p>
      <w:pPr>
        <w:pStyle w:val="Normal"/>
        <w:numPr>
          <w:ilvl w:val="0"/>
          <w:numId w:val="15"/>
        </w:numPr>
        <w:tabs>
          <w:tab w:val="clear" w:pos="708"/>
          <w:tab w:val="left" w:pos="993" w:leader="none"/>
        </w:tabs>
        <w:spacing w:lineRule="auto" w:line="276" w:before="0" w:after="200"/>
        <w:ind w:left="0" w:firstLine="567"/>
        <w:jc w:val="both"/>
        <w:rPr/>
      </w:pPr>
      <w:r>
        <w:rPr>
          <w:rFonts w:cs="Arial"/>
          <w:color w:val="000000"/>
          <w:sz w:val="22"/>
          <w:szCs w:val="20"/>
        </w:rPr>
        <w:t>ЛС являются приложениями к ССРСС. Нумерация приложений указывается по мере включения ЛС в ССР в накопительной форме - по порядку.</w:t>
      </w:r>
    </w:p>
    <w:p>
      <w:pPr>
        <w:pStyle w:val="Normal"/>
        <w:numPr>
          <w:ilvl w:val="0"/>
          <w:numId w:val="15"/>
        </w:numPr>
        <w:tabs>
          <w:tab w:val="clear" w:pos="708"/>
          <w:tab w:val="left" w:pos="993" w:leader="none"/>
        </w:tabs>
        <w:spacing w:lineRule="auto" w:line="276" w:before="0" w:after="200"/>
        <w:ind w:left="0" w:firstLine="567"/>
        <w:jc w:val="both"/>
        <w:rPr/>
      </w:pPr>
      <w:r>
        <w:rPr>
          <w:rFonts w:cs="Arial"/>
          <w:color w:val="000000"/>
          <w:sz w:val="22"/>
          <w:szCs w:val="20"/>
        </w:rPr>
        <w:t>Разнесение затрат (сумм ЛС) по графам и главам ССРСС осуществлять в соответствии с указаниями Методики определения сметной стоимости строительства.</w:t>
      </w:r>
    </w:p>
    <w:p>
      <w:pPr>
        <w:pStyle w:val="Normal"/>
        <w:numPr>
          <w:ilvl w:val="0"/>
          <w:numId w:val="15"/>
        </w:numPr>
        <w:tabs>
          <w:tab w:val="clear" w:pos="708"/>
          <w:tab w:val="left" w:pos="993" w:leader="none"/>
        </w:tabs>
        <w:spacing w:lineRule="auto" w:line="276" w:before="0" w:after="200"/>
        <w:ind w:left="0" w:firstLine="567"/>
        <w:jc w:val="both"/>
        <w:rPr/>
      </w:pPr>
      <w:r>
        <w:rPr>
          <w:rFonts w:cs="Arial"/>
          <w:color w:val="000000"/>
          <w:sz w:val="22"/>
          <w:szCs w:val="20"/>
        </w:rPr>
        <w:t xml:space="preserve">В ССРСС, построчные и итоговые суммы </w:t>
      </w:r>
      <w:r>
        <w:rPr>
          <w:color w:val="000000"/>
          <w:sz w:val="22"/>
          <w:szCs w:val="22"/>
        </w:rPr>
        <w:t xml:space="preserve">указывать </w:t>
      </w:r>
      <w:r>
        <w:rPr>
          <w:rFonts w:cs="Arial"/>
          <w:color w:val="000000"/>
          <w:sz w:val="22"/>
          <w:szCs w:val="20"/>
        </w:rPr>
        <w:t>в рублях с округлением до двух знаков после запятой. Величину НДС не указывать.</w:t>
      </w:r>
    </w:p>
    <w:p>
      <w:pPr>
        <w:sectPr>
          <w:headerReference w:type="default" r:id="rId7"/>
          <w:headerReference w:type="first" r:id="rId8"/>
          <w:type w:val="nextPage"/>
          <w:pgSz w:w="11906" w:h="16838"/>
          <w:pgMar w:left="1134" w:right="851" w:gutter="0" w:header="680" w:top="1134" w:footer="0" w:bottom="992"/>
          <w:pgNumType w:fmt="decimal"/>
          <w:formProt w:val="false"/>
          <w:titlePg/>
          <w:textDirection w:val="lrTb"/>
          <w:docGrid w:type="default" w:linePitch="381" w:charSpace="0"/>
        </w:sectPr>
        <w:pStyle w:val="Normal"/>
        <w:numPr>
          <w:ilvl w:val="0"/>
          <w:numId w:val="15"/>
        </w:numPr>
        <w:tabs>
          <w:tab w:val="clear" w:pos="708"/>
          <w:tab w:val="left" w:pos="993" w:leader="none"/>
        </w:tabs>
        <w:spacing w:lineRule="auto" w:line="276" w:before="0" w:after="200"/>
        <w:ind w:left="0" w:firstLine="567"/>
        <w:jc w:val="both"/>
        <w:rPr/>
      </w:pPr>
      <w:r>
        <w:rPr>
          <w:rFonts w:cs="Arial"/>
          <w:color w:val="000000"/>
          <w:sz w:val="22"/>
          <w:szCs w:val="20"/>
        </w:rPr>
        <w:t xml:space="preserve"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ССРСС.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нагрузкой». </w:t>
      </w:r>
    </w:p>
    <w:p>
      <w:pPr>
        <w:pStyle w:val="Normal"/>
        <w:widowControl w:val="false"/>
        <w:ind w:firstLine="720"/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</w:r>
    </w:p>
    <w:p>
      <w:pPr>
        <w:pStyle w:val="Normal"/>
        <w:widowControl w:val="false"/>
        <w:ind w:firstLine="720"/>
        <w:jc w:val="right"/>
        <w:rPr/>
      </w:pPr>
      <w:r>
        <w:rPr>
          <w:rFonts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cs="Arial"/>
          <w:sz w:val="20"/>
          <w:szCs w:val="20"/>
        </w:rPr>
        <w:t xml:space="preserve">Приложение №1 </w:t>
      </w:r>
    </w:p>
    <w:p>
      <w:pPr>
        <w:pStyle w:val="Normal"/>
        <w:widowControl w:val="false"/>
        <w:ind w:left="57" w:firstLine="720"/>
        <w:rPr/>
      </w:pPr>
      <w:r>
        <w:rPr>
          <w:rFonts w:cs="Arial"/>
          <w:b/>
          <w:sz w:val="22"/>
          <w:szCs w:val="22"/>
        </w:rPr>
        <w:t xml:space="preserve">ОБРАЗЕЦ </w:t>
      </w:r>
      <w:r>
        <w:rPr>
          <w:rFonts w:cs="Arial"/>
          <w:sz w:val="20"/>
          <w:szCs w:val="20"/>
        </w:rPr>
        <w:t xml:space="preserve">                                                                                            </w:t>
      </w:r>
    </w:p>
    <w:p>
      <w:pPr>
        <w:pStyle w:val="Normal"/>
        <w:widowControl w:val="false"/>
        <w:ind w:left="5811" w:firstLine="720"/>
        <w:jc w:val="right"/>
        <w:rPr/>
      </w:pPr>
      <w:r>
        <w:rPr>
          <w:rFonts w:cs="Arial"/>
          <w:sz w:val="20"/>
          <w:szCs w:val="20"/>
        </w:rPr>
        <w:t xml:space="preserve">                                                                                                     </w:t>
      </w:r>
      <w:r>
        <w:rPr>
          <w:rFonts w:cs="Arial"/>
          <w:sz w:val="20"/>
          <w:szCs w:val="20"/>
        </w:rPr>
        <w:t xml:space="preserve">Приложение №___                                                                                    к договору от_______№_____ </w:t>
      </w:r>
      <w:r>
        <w:rPr>
          <w:rFonts w:cs="Arial"/>
          <w:sz w:val="20"/>
          <w:szCs w:val="20"/>
          <w:lang w:val="en-US"/>
        </w:rPr>
        <w:t xml:space="preserve"> </w:t>
      </w:r>
    </w:p>
    <w:p>
      <w:pPr>
        <w:pStyle w:val="Normal"/>
        <w:widowControl w:val="false"/>
        <w:ind w:firstLine="720"/>
        <w:jc w:val="right"/>
        <w:rPr/>
      </w:pPr>
      <w:r>
        <w:rPr>
          <w:rFonts w:cs="Arial"/>
          <w:sz w:val="20"/>
          <w:szCs w:val="20"/>
        </w:rPr>
        <w:t xml:space="preserve"> </w:t>
      </w:r>
    </w:p>
    <w:p>
      <w:pPr>
        <w:pStyle w:val="Normal"/>
        <w:widowControl w:val="false"/>
        <w:ind w:firstLine="720"/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</w:r>
      <w:bookmarkStart w:id="118" w:name="P2945"/>
      <w:bookmarkStart w:id="119" w:name="P2746"/>
      <w:bookmarkStart w:id="120" w:name="P2736"/>
      <w:bookmarkStart w:id="121" w:name="P2616"/>
      <w:bookmarkStart w:id="122" w:name="P2566"/>
      <w:bookmarkStart w:id="123" w:name="P2546"/>
      <w:bookmarkStart w:id="124" w:name="P2531"/>
      <w:bookmarkStart w:id="125" w:name="P2530"/>
      <w:bookmarkStart w:id="126" w:name="P2529"/>
      <w:bookmarkStart w:id="127" w:name="P2528"/>
      <w:bookmarkStart w:id="128" w:name="P2527"/>
      <w:bookmarkStart w:id="129" w:name="P2526"/>
      <w:bookmarkStart w:id="130" w:name="P2525"/>
      <w:bookmarkStart w:id="131" w:name="P2524"/>
      <w:bookmarkStart w:id="132" w:name="P2523"/>
      <w:bookmarkStart w:id="133" w:name="P2522"/>
      <w:bookmarkStart w:id="134" w:name="P2506"/>
      <w:bookmarkStart w:id="135" w:name="P3258"/>
      <w:bookmarkStart w:id="136" w:name="P2945"/>
      <w:bookmarkStart w:id="137" w:name="P2746"/>
      <w:bookmarkStart w:id="138" w:name="P2736"/>
      <w:bookmarkStart w:id="139" w:name="P2616"/>
      <w:bookmarkStart w:id="140" w:name="P2566"/>
      <w:bookmarkStart w:id="141" w:name="P2546"/>
      <w:bookmarkStart w:id="142" w:name="P2531"/>
      <w:bookmarkStart w:id="143" w:name="P2530"/>
      <w:bookmarkStart w:id="144" w:name="P2529"/>
      <w:bookmarkStart w:id="145" w:name="P2528"/>
      <w:bookmarkStart w:id="146" w:name="P2527"/>
      <w:bookmarkStart w:id="147" w:name="P2526"/>
      <w:bookmarkStart w:id="148" w:name="P2525"/>
      <w:bookmarkStart w:id="149" w:name="P2524"/>
      <w:bookmarkStart w:id="150" w:name="P2523"/>
      <w:bookmarkStart w:id="151" w:name="P2522"/>
      <w:bookmarkStart w:id="152" w:name="P2506"/>
      <w:bookmarkStart w:id="153" w:name="P3258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tbl>
      <w:tblPr>
        <w:tblW w:w="10915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3464"/>
        <w:gridCol w:w="7450"/>
      </w:tblGrid>
      <w:tr>
        <w:trPr>
          <w:trHeight w:val="1158" w:hRule="atLeast"/>
        </w:trPr>
        <w:tc>
          <w:tcPr>
            <w:tcW w:w="3464" w:type="dxa"/>
            <w:tcBorders/>
            <w:shd w:color="auto" w:fill="auto" w:val="clear"/>
          </w:tcPr>
          <w:p>
            <w:pPr>
              <w:pStyle w:val="Normal"/>
              <w:widowControl w:val="false"/>
              <w:ind w:left="283" w:hanging="0"/>
              <w:rPr/>
            </w:pPr>
            <w:r>
              <w:rPr>
                <w:b/>
                <w:sz w:val="20"/>
                <w:szCs w:val="20"/>
              </w:rPr>
              <w:t>СОГЛАСОВАНО</w:t>
            </w:r>
            <w:r>
              <w:rPr>
                <w:sz w:val="20"/>
                <w:szCs w:val="20"/>
              </w:rPr>
              <w:t>:</w:t>
            </w:r>
          </w:p>
          <w:p>
            <w:pPr>
              <w:pStyle w:val="Normal"/>
              <w:widowControl w:val="false"/>
              <w:ind w:right="-909" w:hanging="0"/>
              <w:rPr/>
            </w:pPr>
            <w:r>
              <w:rPr>
                <w:sz w:val="20"/>
                <w:szCs w:val="20"/>
              </w:rPr>
              <w:t>______________(Подрядчик )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rPr/>
            </w:pPr>
            <w:r>
              <w:rPr>
                <w:sz w:val="20"/>
                <w:szCs w:val="20"/>
              </w:rPr>
              <w:t>_______________(ФИО)</w:t>
            </w:r>
          </w:p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ind w:left="142" w:hanging="142"/>
              <w:rPr/>
            </w:pPr>
            <w:r>
              <w:rPr>
                <w:sz w:val="20"/>
                <w:szCs w:val="20"/>
              </w:rPr>
              <w:t>Заказчик:______________________</w:t>
            </w:r>
          </w:p>
        </w:tc>
        <w:tc>
          <w:tcPr>
            <w:tcW w:w="7450" w:type="dxa"/>
            <w:tcBorders/>
            <w:shd w:color="auto" w:fill="auto" w:val="clear"/>
          </w:tcPr>
          <w:p>
            <w:pPr>
              <w:pStyle w:val="Normal"/>
              <w:widowControl w:val="false"/>
              <w:ind w:right="-3855" w:firstLine="720"/>
              <w:jc w:val="center"/>
              <w:rPr/>
            </w:pPr>
            <w:r>
              <w:rPr>
                <w:b/>
                <w:sz w:val="20"/>
                <w:szCs w:val="20"/>
              </w:rPr>
              <w:t>УТВЕРЖДАЮ:</w:t>
            </w:r>
          </w:p>
          <w:p>
            <w:pPr>
              <w:pStyle w:val="Normal"/>
              <w:widowControl w:val="false"/>
              <w:ind w:right="-909" w:hanging="0"/>
              <w:rPr/>
            </w:pPr>
            <w:r>
              <w:rPr>
                <w:b/>
                <w:sz w:val="20"/>
                <w:szCs w:val="20"/>
              </w:rPr>
              <w:t xml:space="preserve">                                                              </w:t>
            </w:r>
            <w:r>
              <w:rPr>
                <w:b/>
                <w:sz w:val="22"/>
                <w:szCs w:val="20"/>
              </w:rPr>
              <w:t xml:space="preserve">                             </w:t>
            </w:r>
            <w:r>
              <w:rPr>
                <w:sz w:val="22"/>
                <w:szCs w:val="20"/>
              </w:rPr>
              <w:t>_____________(Заказчик )</w:t>
            </w:r>
          </w:p>
          <w:p>
            <w:pPr>
              <w:pStyle w:val="Normal"/>
              <w:widowControl w:val="false"/>
              <w:ind w:left="2551" w:firstLine="720"/>
              <w:jc w:val="center"/>
              <w:rPr/>
            </w:pPr>
            <w:r>
              <w:rPr>
                <w:sz w:val="22"/>
                <w:szCs w:val="20"/>
              </w:rPr>
              <w:t xml:space="preserve">                  </w:t>
            </w:r>
            <w:r>
              <w:rPr>
                <w:sz w:val="22"/>
                <w:szCs w:val="20"/>
              </w:rPr>
              <w:t>______________(</w:t>
            </w:r>
            <w:r>
              <w:rPr>
                <w:sz w:val="20"/>
                <w:szCs w:val="20"/>
              </w:rPr>
              <w:t>ФИО)</w:t>
            </w:r>
          </w:p>
        </w:tc>
      </w:tr>
      <w:tr>
        <w:trPr/>
        <w:tc>
          <w:tcPr>
            <w:tcW w:w="3464" w:type="dxa"/>
            <w:tcBorders/>
            <w:shd w:color="auto" w:fill="auto" w:val="clear"/>
          </w:tcPr>
          <w:p>
            <w:pPr>
              <w:pStyle w:val="Normal"/>
              <w:widowControl w:val="false"/>
              <w:ind w:firstLine="720"/>
              <w:jc w:val="center"/>
              <w:rPr/>
            </w:pPr>
            <w:r>
              <w:rPr>
                <w:sz w:val="20"/>
                <w:szCs w:val="20"/>
              </w:rPr>
              <w:t>(наименование организации)</w:t>
            </w:r>
          </w:p>
        </w:tc>
        <w:tc>
          <w:tcPr>
            <w:tcW w:w="7450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1091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0"/>
                <w:szCs w:val="20"/>
              </w:rPr>
              <w:t>Утвержден: __ ______________202__ г.</w:t>
            </w:r>
          </w:p>
        </w:tc>
      </w:tr>
    </w:tbl>
    <w:p>
      <w:pPr>
        <w:pStyle w:val="Normal"/>
        <w:widowControl w:val="false"/>
        <w:ind w:firstLine="720"/>
        <w:jc w:val="center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</w:r>
    </w:p>
    <w:tbl>
      <w:tblPr>
        <w:tblW w:w="10977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5215"/>
        <w:gridCol w:w="2664"/>
        <w:gridCol w:w="3098"/>
      </w:tblGrid>
      <w:tr>
        <w:trPr/>
        <w:tc>
          <w:tcPr>
            <w:tcW w:w="5215" w:type="dxa"/>
            <w:tcBorders/>
          </w:tcPr>
          <w:p>
            <w:pPr>
              <w:pStyle w:val="Normal"/>
              <w:widowControl w:val="false"/>
              <w:rPr/>
            </w:pPr>
            <w:r>
              <w:rPr>
                <w:sz w:val="20"/>
                <w:szCs w:val="20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98" w:type="dxa"/>
            <w:tcBorders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/>
                <w:sz w:val="20"/>
                <w:szCs w:val="20"/>
              </w:rPr>
              <w:t>руб.</w:t>
            </w:r>
          </w:p>
        </w:tc>
      </w:tr>
      <w:tr>
        <w:trPr/>
        <w:tc>
          <w:tcPr>
            <w:tcW w:w="10977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/>
            </w:pPr>
            <w:r>
              <w:rPr>
                <w:sz w:val="20"/>
                <w:szCs w:val="20"/>
              </w:rPr>
              <w:t>(ссылка на документ об утверждении)</w:t>
            </w:r>
          </w:p>
        </w:tc>
      </w:tr>
      <w:tr>
        <w:trPr/>
        <w:tc>
          <w:tcPr>
            <w:tcW w:w="10977" w:type="dxa"/>
            <w:gridSpan w:val="3"/>
            <w:tcBorders/>
          </w:tcPr>
          <w:p>
            <w:pPr>
              <w:pStyle w:val="Normal"/>
              <w:widowControl w:val="false"/>
              <w:ind w:firstLine="720"/>
              <w:jc w:val="center"/>
              <w:rPr/>
            </w:pPr>
            <w:r>
              <w:rPr>
                <w:sz w:val="20"/>
                <w:szCs w:val="20"/>
              </w:rPr>
              <w:t>СВОДНЫЙ СМЕТНЫЙ РАСЧЕТ</w:t>
            </w:r>
          </w:p>
          <w:p>
            <w:pPr>
              <w:pStyle w:val="Normal"/>
              <w:widowControl w:val="false"/>
              <w:ind w:firstLine="720"/>
              <w:jc w:val="center"/>
              <w:rPr/>
            </w:pPr>
            <w:r>
              <w:rPr>
                <w:sz w:val="20"/>
                <w:szCs w:val="20"/>
              </w:rPr>
              <w:t>N ССРСС-________</w:t>
            </w:r>
          </w:p>
        </w:tc>
      </w:tr>
      <w:tr>
        <w:trPr>
          <w:trHeight w:val="22" w:hRule="atLeast"/>
        </w:trPr>
        <w:tc>
          <w:tcPr>
            <w:tcW w:w="10977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/>
            </w:pPr>
            <w:r>
              <w:rPr>
                <w:sz w:val="20"/>
                <w:szCs w:val="20"/>
              </w:rPr>
              <w:t>(наименование стройки)</w:t>
            </w:r>
          </w:p>
        </w:tc>
      </w:tr>
      <w:tr>
        <w:trPr/>
        <w:tc>
          <w:tcPr>
            <w:tcW w:w="10977" w:type="dxa"/>
            <w:gridSpan w:val="3"/>
            <w:tcBorders/>
          </w:tcPr>
          <w:p>
            <w:pPr>
              <w:pStyle w:val="Normal"/>
              <w:widowControl w:val="false"/>
              <w:ind w:firstLine="720"/>
              <w:jc w:val="center"/>
              <w:rPr/>
            </w:pPr>
            <w:r>
              <w:rPr>
                <w:sz w:val="20"/>
                <w:szCs w:val="20"/>
              </w:rPr>
              <w:t>Составлен в текущих ценах, соответствующих периоду выполнения работ по Договору_________________ 20__ г.</w:t>
            </w:r>
          </w:p>
        </w:tc>
      </w:tr>
    </w:tbl>
    <w:p>
      <w:pPr>
        <w:pStyle w:val="Normal"/>
        <w:widowControl w:val="false"/>
        <w:ind w:firstLine="72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tbl>
      <w:tblPr>
        <w:tblW w:w="10982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633"/>
        <w:gridCol w:w="996"/>
        <w:gridCol w:w="281"/>
        <w:gridCol w:w="1272"/>
        <w:gridCol w:w="365"/>
        <w:gridCol w:w="1345"/>
        <w:gridCol w:w="425"/>
        <w:gridCol w:w="1133"/>
        <w:gridCol w:w="1565"/>
        <w:gridCol w:w="1432"/>
        <w:gridCol w:w="1533"/>
      </w:tblGrid>
      <w:tr>
        <w:trPr>
          <w:trHeight w:val="212" w:hRule="atLeast"/>
        </w:trPr>
        <w:tc>
          <w:tcPr>
            <w:tcW w:w="6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/>
            </w:pPr>
            <w:r>
              <w:rPr>
                <w:sz w:val="20"/>
                <w:szCs w:val="20"/>
              </w:rPr>
              <w:t>Nп/п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18"/>
                <w:szCs w:val="18"/>
              </w:rPr>
              <w:t>Обоснование</w:t>
            </w:r>
          </w:p>
        </w:tc>
        <w:tc>
          <w:tcPr>
            <w:tcW w:w="15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60"/>
              <w:jc w:val="center"/>
              <w:rPr/>
            </w:pPr>
            <w:r>
              <w:rPr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7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/>
            </w:pPr>
            <w:r>
              <w:rPr>
                <w:sz w:val="18"/>
                <w:szCs w:val="18"/>
              </w:rPr>
              <w:t>Сметная стоимость, руб.</w:t>
            </w:r>
          </w:p>
        </w:tc>
      </w:tr>
      <w:tr>
        <w:trPr>
          <w:trHeight w:val="1019" w:hRule="atLeast"/>
        </w:trPr>
        <w:tc>
          <w:tcPr>
            <w:tcW w:w="6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53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66"/>
              <w:jc w:val="center"/>
              <w:rPr/>
            </w:pPr>
            <w:r>
              <w:rPr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91" w:hanging="64"/>
              <w:jc w:val="center"/>
              <w:rPr/>
            </w:pPr>
            <w:r>
              <w:rPr>
                <w:sz w:val="18"/>
                <w:szCs w:val="18"/>
              </w:rPr>
              <w:t>монтажных работ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86"/>
              <w:jc w:val="center"/>
              <w:rPr/>
            </w:pPr>
            <w:r>
              <w:rPr>
                <w:sz w:val="18"/>
                <w:szCs w:val="18"/>
              </w:rPr>
              <w:t>оборудования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113" w:hanging="0"/>
              <w:jc w:val="center"/>
              <w:rPr/>
            </w:pPr>
            <w:r>
              <w:rPr>
                <w:sz w:val="18"/>
                <w:szCs w:val="18"/>
              </w:rPr>
              <w:t>прочих затрат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/>
            </w:pPr>
            <w:r>
              <w:rPr>
                <w:sz w:val="18"/>
                <w:szCs w:val="18"/>
              </w:rPr>
              <w:t>всего</w:t>
            </w:r>
          </w:p>
        </w:tc>
      </w:tr>
      <w:tr>
        <w:trPr>
          <w:trHeight w:val="273" w:hRule="atLeast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rPr/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widowControl w:val="false"/>
              <w:ind w:firstLine="720"/>
              <w:rPr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widowControl w:val="false"/>
              <w:ind w:firstLine="720"/>
              <w:rPr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widowControl w:val="false"/>
              <w:ind w:firstLine="720"/>
              <w:rPr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widowControl w:val="false"/>
              <w:ind w:firstLine="720"/>
              <w:rPr/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widowControl w:val="false"/>
              <w:ind w:firstLine="720"/>
              <w:rPr/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widowControl w:val="false"/>
              <w:ind w:firstLine="720"/>
              <w:rPr/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widowControl w:val="false"/>
              <w:ind w:firstLine="720"/>
              <w:rPr/>
            </w:pPr>
            <w:r>
              <w:rPr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27" w:hRule="atLeast"/>
        </w:trPr>
        <w:tc>
          <w:tcPr>
            <w:tcW w:w="35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  <w:tab w:val="left" w:pos="2091" w:leader="none"/>
              </w:tabs>
              <w:ind w:left="170" w:hanging="425"/>
              <w:rPr/>
            </w:pPr>
            <w:r>
              <w:rPr>
                <w:sz w:val="18"/>
                <w:szCs w:val="18"/>
              </w:rPr>
              <w:t xml:space="preserve">     </w:t>
            </w:r>
            <w:r>
              <w:rPr>
                <w:sz w:val="18"/>
                <w:szCs w:val="18"/>
              </w:rPr>
              <w:t>Руководитель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851" w:leader="none"/>
              </w:tabs>
              <w:ind w:left="170" w:hanging="141"/>
              <w:rPr/>
            </w:pPr>
            <w:r>
              <w:rPr>
                <w:sz w:val="18"/>
                <w:szCs w:val="18"/>
              </w:rPr>
              <w:t>проектной организации</w:t>
            </w:r>
          </w:p>
        </w:tc>
        <w:tc>
          <w:tcPr>
            <w:tcW w:w="74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35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4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/>
            </w:pPr>
            <w:r>
              <w:rPr>
                <w:sz w:val="18"/>
                <w:szCs w:val="18"/>
              </w:rPr>
              <w:t>[подпись (инициалы, фамилия)]</w:t>
            </w:r>
          </w:p>
        </w:tc>
      </w:tr>
      <w:tr>
        <w:trPr/>
        <w:tc>
          <w:tcPr>
            <w:tcW w:w="35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18"/>
                <w:szCs w:val="18"/>
              </w:rPr>
              <w:t>Главный инженер проекта</w:t>
            </w:r>
          </w:p>
        </w:tc>
        <w:tc>
          <w:tcPr>
            <w:tcW w:w="74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907" w:firstLine="1"/>
              <w:jc w:val="center"/>
              <w:rPr/>
            </w:pPr>
            <w:r>
              <w:rPr>
                <w:sz w:val="18"/>
                <w:szCs w:val="18"/>
              </w:rPr>
              <w:t>Начальник</w:t>
            </w:r>
          </w:p>
        </w:tc>
        <w:tc>
          <w:tcPr>
            <w:tcW w:w="1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67"/>
              <w:jc w:val="center"/>
              <w:rPr/>
            </w:pPr>
            <w:r>
              <w:rPr>
                <w:sz w:val="18"/>
                <w:szCs w:val="18"/>
              </w:rPr>
              <w:t>отдела</w:t>
            </w:r>
          </w:p>
        </w:tc>
        <w:tc>
          <w:tcPr>
            <w:tcW w:w="56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198"/>
              <w:jc w:val="center"/>
              <w:rPr/>
            </w:pPr>
            <w:r>
              <w:rPr>
                <w:sz w:val="18"/>
                <w:szCs w:val="18"/>
              </w:rPr>
              <w:t>(наименование)</w:t>
            </w:r>
          </w:p>
        </w:tc>
        <w:tc>
          <w:tcPr>
            <w:tcW w:w="1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rPr/>
            </w:pPr>
            <w:r>
              <w:rPr>
                <w:sz w:val="18"/>
                <w:szCs w:val="18"/>
              </w:rPr>
              <w:t>[подпись (инициалы, фамилия)]</w:t>
            </w:r>
          </w:p>
        </w:tc>
      </w:tr>
      <w:tr>
        <w:trPr/>
        <w:tc>
          <w:tcPr>
            <w:tcW w:w="1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284" w:firstLine="283"/>
              <w:rPr/>
            </w:pPr>
            <w:r>
              <w:rPr>
                <w:sz w:val="18"/>
                <w:szCs w:val="18"/>
              </w:rPr>
              <w:t>Заказчик</w:t>
            </w:r>
          </w:p>
        </w:tc>
        <w:tc>
          <w:tcPr>
            <w:tcW w:w="90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/>
            </w:pPr>
            <w:r>
              <w:rPr>
                <w:sz w:val="18"/>
                <w:szCs w:val="18"/>
              </w:rPr>
              <w:t>[подпись (инициалы, фамилия)]</w:t>
            </w:r>
          </w:p>
        </w:tc>
      </w:tr>
    </w:tbl>
    <w:p>
      <w:pPr>
        <w:pStyle w:val="Normal"/>
        <w:ind w:left="357" w:hanging="0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ind w:left="357" w:hanging="0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ind w:left="397" w:hanging="0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ind w:left="397" w:hanging="0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ind w:left="397" w:hanging="0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ind w:left="397" w:hanging="0"/>
        <w:rPr/>
      </w:pPr>
      <w:r>
        <w:rPr>
          <w:b/>
          <w:sz w:val="22"/>
          <w:szCs w:val="22"/>
        </w:rPr>
        <w:t>ОБРАЗЕЦ</w:t>
      </w: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ind w:left="8646" w:hanging="0"/>
        <w:rPr/>
      </w:pPr>
      <w:r>
        <w:rPr>
          <w:sz w:val="22"/>
          <w:szCs w:val="22"/>
        </w:rPr>
        <w:t xml:space="preserve"> </w:t>
      </w:r>
      <w:r>
        <w:rPr>
          <w:sz w:val="20"/>
          <w:szCs w:val="20"/>
        </w:rPr>
        <w:t>Приложение №2</w:t>
      </w:r>
    </w:p>
    <w:p>
      <w:pPr>
        <w:pStyle w:val="Normal"/>
        <w:widowControl w:val="false"/>
        <w:ind w:firstLine="720"/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</w:r>
    </w:p>
    <w:p>
      <w:pPr>
        <w:pStyle w:val="Normal"/>
        <w:widowControl w:val="false"/>
        <w:tabs>
          <w:tab w:val="clear" w:pos="708"/>
          <w:tab w:val="left" w:pos="6804" w:leader="none"/>
        </w:tabs>
        <w:ind w:left="5811" w:firstLine="720"/>
        <w:rPr/>
      </w:pPr>
      <w:r>
        <w:rPr>
          <w:rFonts w:cs="Arial"/>
          <w:sz w:val="20"/>
          <w:szCs w:val="20"/>
        </w:rPr>
        <w:t>Приложение №___</w:t>
      </w:r>
    </w:p>
    <w:p>
      <w:pPr>
        <w:pStyle w:val="Normal"/>
        <w:widowControl w:val="false"/>
        <w:tabs>
          <w:tab w:val="clear" w:pos="708"/>
          <w:tab w:val="left" w:pos="6946" w:leader="none"/>
        </w:tabs>
        <w:ind w:left="5811" w:firstLine="720"/>
        <w:rPr/>
      </w:pPr>
      <w:r>
        <w:rPr>
          <w:rFonts w:cs="Arial"/>
          <w:sz w:val="20"/>
          <w:szCs w:val="20"/>
        </w:rPr>
        <w:t>к дополнительному соглашению от ___ № ___</w:t>
      </w:r>
    </w:p>
    <w:p>
      <w:pPr>
        <w:pStyle w:val="Normal"/>
        <w:widowControl w:val="false"/>
        <w:ind w:left="5811" w:firstLine="720"/>
        <w:rPr/>
      </w:pPr>
      <w:r>
        <w:rPr>
          <w:rFonts w:cs="Arial"/>
          <w:sz w:val="20"/>
          <w:szCs w:val="20"/>
        </w:rPr>
        <w:t xml:space="preserve">к договору от________№_____                                                                                                      </w:t>
      </w:r>
    </w:p>
    <w:tbl>
      <w:tblPr>
        <w:tblW w:w="10915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1222"/>
        <w:gridCol w:w="9692"/>
      </w:tblGrid>
      <w:tr>
        <w:trPr/>
        <w:tc>
          <w:tcPr>
            <w:tcW w:w="1222" w:type="dxa"/>
            <w:tcBorders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  <w:szCs w:val="20"/>
              </w:rPr>
              <w:t xml:space="preserve">                                 </w:t>
            </w:r>
            <w:r>
              <w:rPr>
                <w:sz w:val="20"/>
                <w:szCs w:val="20"/>
              </w:rPr>
              <w:t>Заказчик</w:t>
            </w:r>
          </w:p>
        </w:tc>
        <w:tc>
          <w:tcPr>
            <w:tcW w:w="9692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1222" w:type="dxa"/>
            <w:tcBorders/>
          </w:tcPr>
          <w:p>
            <w:pPr>
              <w:pStyle w:val="Normal"/>
              <w:widowControl w:val="false"/>
              <w:ind w:firstLine="7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692" w:type="dxa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/>
            </w:pPr>
            <w:r>
              <w:rPr>
                <w:sz w:val="20"/>
                <w:szCs w:val="20"/>
              </w:rPr>
              <w:t>(наименование организации)</w:t>
            </w:r>
          </w:p>
        </w:tc>
      </w:tr>
      <w:tr>
        <w:trPr/>
        <w:tc>
          <w:tcPr>
            <w:tcW w:w="10914" w:type="dxa"/>
            <w:gridSpan w:val="2"/>
            <w:tcBorders/>
          </w:tcPr>
          <w:p>
            <w:pPr>
              <w:pStyle w:val="Normal"/>
              <w:widowControl w:val="false"/>
              <w:rPr/>
            </w:pPr>
            <w:r>
              <w:rPr>
                <w:sz w:val="20"/>
                <w:szCs w:val="20"/>
              </w:rPr>
              <w:t>Утвержден __ ______________ 20__ г.</w:t>
            </w:r>
          </w:p>
        </w:tc>
      </w:tr>
    </w:tbl>
    <w:p>
      <w:pPr>
        <w:pStyle w:val="Normal"/>
        <w:widowControl w:val="false"/>
        <w:ind w:firstLine="720"/>
        <w:jc w:val="center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W w:w="10977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5215"/>
        <w:gridCol w:w="2664"/>
        <w:gridCol w:w="3098"/>
      </w:tblGrid>
      <w:tr>
        <w:trPr/>
        <w:tc>
          <w:tcPr>
            <w:tcW w:w="5215" w:type="dxa"/>
            <w:tcBorders/>
          </w:tcPr>
          <w:p>
            <w:pPr>
              <w:pStyle w:val="Normal"/>
              <w:widowControl w:val="false"/>
              <w:rPr/>
            </w:pPr>
            <w:r>
              <w:rPr>
                <w:sz w:val="20"/>
                <w:szCs w:val="20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98" w:type="dxa"/>
            <w:tcBorders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  <w:szCs w:val="20"/>
              </w:rPr>
              <w:t>руб.</w:t>
            </w:r>
          </w:p>
        </w:tc>
      </w:tr>
      <w:tr>
        <w:trPr/>
        <w:tc>
          <w:tcPr>
            <w:tcW w:w="10977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/>
            </w:pPr>
            <w:r>
              <w:rPr>
                <w:sz w:val="20"/>
                <w:szCs w:val="20"/>
              </w:rPr>
              <w:t>(ссылка на документ об утверждении)</w:t>
            </w:r>
          </w:p>
        </w:tc>
      </w:tr>
    </w:tbl>
    <w:p>
      <w:pPr>
        <w:pStyle w:val="Normal"/>
        <w:widowControl w:val="false"/>
        <w:ind w:firstLine="720"/>
        <w:jc w:val="center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W w:w="10977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10977"/>
      </w:tblGrid>
      <w:tr>
        <w:trPr/>
        <w:tc>
          <w:tcPr>
            <w:tcW w:w="10977" w:type="dxa"/>
            <w:tcBorders/>
          </w:tcPr>
          <w:p>
            <w:pPr>
              <w:pStyle w:val="Normal"/>
              <w:widowControl w:val="false"/>
              <w:ind w:firstLine="720"/>
              <w:jc w:val="center"/>
              <w:rPr/>
            </w:pPr>
            <w:r>
              <w:rPr>
                <w:sz w:val="20"/>
                <w:szCs w:val="20"/>
              </w:rPr>
              <w:t>СВОДНЫЙ СМЕТНЫЙ РАСЧЕТ</w:t>
            </w:r>
          </w:p>
          <w:p>
            <w:pPr>
              <w:pStyle w:val="Normal"/>
              <w:widowControl w:val="false"/>
              <w:ind w:firstLine="720"/>
              <w:jc w:val="center"/>
              <w:rPr/>
            </w:pPr>
            <w:r>
              <w:rPr>
                <w:sz w:val="20"/>
                <w:szCs w:val="20"/>
              </w:rPr>
              <w:t>N ССРСС-________</w:t>
            </w:r>
          </w:p>
        </w:tc>
      </w:tr>
      <w:tr>
        <w:trPr/>
        <w:tc>
          <w:tcPr>
            <w:tcW w:w="10977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10977" w:type="dxa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/>
            </w:pPr>
            <w:r>
              <w:rPr>
                <w:sz w:val="20"/>
                <w:szCs w:val="20"/>
              </w:rPr>
              <w:t>(наименование стройки)</w:t>
            </w:r>
          </w:p>
        </w:tc>
      </w:tr>
      <w:tr>
        <w:trPr/>
        <w:tc>
          <w:tcPr>
            <w:tcW w:w="10977" w:type="dxa"/>
            <w:tcBorders/>
          </w:tcPr>
          <w:p>
            <w:pPr>
              <w:pStyle w:val="Normal"/>
              <w:widowControl w:val="false"/>
              <w:ind w:firstLine="720"/>
              <w:jc w:val="center"/>
              <w:rPr/>
            </w:pPr>
            <w:r>
              <w:rPr>
                <w:sz w:val="20"/>
                <w:szCs w:val="20"/>
              </w:rPr>
              <w:t>Составлен в текущих ценах, соответствующих периоду выполнения работ по Договору_________________ 20__ г.</w:t>
            </w:r>
          </w:p>
        </w:tc>
      </w:tr>
    </w:tbl>
    <w:p>
      <w:pPr>
        <w:pStyle w:val="Normal"/>
        <w:widowControl w:val="false"/>
        <w:ind w:firstLine="720"/>
        <w:jc w:val="center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W w:w="10706" w:type="dxa"/>
        <w:jc w:val="left"/>
        <w:tblInd w:w="41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429"/>
        <w:gridCol w:w="990"/>
        <w:gridCol w:w="291"/>
        <w:gridCol w:w="1638"/>
        <w:gridCol w:w="57"/>
        <w:gridCol w:w="1699"/>
        <w:gridCol w:w="15"/>
        <w:gridCol w:w="1263"/>
        <w:gridCol w:w="1435"/>
        <w:gridCol w:w="1139"/>
        <w:gridCol w:w="1748"/>
      </w:tblGrid>
      <w:tr>
        <w:trPr>
          <w:trHeight w:val="311" w:hRule="atLeast"/>
        </w:trPr>
        <w:tc>
          <w:tcPr>
            <w:tcW w:w="4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/>
            </w:pPr>
            <w:r>
              <w:rPr>
                <w:sz w:val="18"/>
                <w:szCs w:val="18"/>
              </w:rPr>
              <w:t>Nп/п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18"/>
                <w:szCs w:val="18"/>
              </w:rPr>
              <w:t>Обоснование</w:t>
            </w:r>
          </w:p>
        </w:tc>
        <w:tc>
          <w:tcPr>
            <w:tcW w:w="198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60"/>
              <w:jc w:val="center"/>
              <w:rPr/>
            </w:pPr>
            <w:r>
              <w:rPr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2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/>
            </w:pPr>
            <w:r>
              <w:rPr>
                <w:sz w:val="18"/>
                <w:szCs w:val="18"/>
              </w:rPr>
              <w:t>Сметная стоимость, руб.</w:t>
            </w:r>
          </w:p>
        </w:tc>
      </w:tr>
      <w:tr>
        <w:trPr>
          <w:trHeight w:val="1294" w:hRule="atLeast"/>
        </w:trPr>
        <w:tc>
          <w:tcPr>
            <w:tcW w:w="42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986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66"/>
              <w:jc w:val="center"/>
              <w:rPr/>
            </w:pPr>
            <w:r>
              <w:rPr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91" w:hanging="64"/>
              <w:jc w:val="center"/>
              <w:rPr/>
            </w:pPr>
            <w:r>
              <w:rPr>
                <w:sz w:val="18"/>
                <w:szCs w:val="18"/>
              </w:rPr>
              <w:t>монтажных работ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86"/>
              <w:jc w:val="center"/>
              <w:rPr/>
            </w:pPr>
            <w:r>
              <w:rPr>
                <w:sz w:val="18"/>
                <w:szCs w:val="18"/>
              </w:rPr>
              <w:t>оборудования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113" w:hanging="0"/>
              <w:jc w:val="center"/>
              <w:rPr/>
            </w:pPr>
            <w:r>
              <w:rPr>
                <w:sz w:val="18"/>
                <w:szCs w:val="18"/>
              </w:rPr>
              <w:t>прочих затрат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/>
            </w:pPr>
            <w:r>
              <w:rPr>
                <w:sz w:val="18"/>
                <w:szCs w:val="18"/>
              </w:rPr>
              <w:t>всего</w:t>
            </w:r>
          </w:p>
        </w:tc>
      </w:tr>
      <w:tr>
        <w:trPr>
          <w:trHeight w:val="144" w:hRule="atLeast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/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widowControl w:val="false"/>
              <w:ind w:firstLine="720"/>
              <w:jc w:val="center"/>
              <w:rPr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widowControl w:val="false"/>
              <w:ind w:firstLine="720"/>
              <w:jc w:val="center"/>
              <w:rPr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widowControl w:val="false"/>
              <w:ind w:firstLine="720"/>
              <w:jc w:val="center"/>
              <w:rPr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widowControl w:val="false"/>
              <w:ind w:firstLine="720"/>
              <w:jc w:val="center"/>
              <w:rPr/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widowControl w:val="false"/>
              <w:ind w:firstLine="720"/>
              <w:jc w:val="center"/>
              <w:rPr/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widowControl w:val="false"/>
              <w:ind w:firstLine="720"/>
              <w:jc w:val="center"/>
              <w:rPr/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widowControl w:val="false"/>
              <w:ind w:firstLine="720"/>
              <w:jc w:val="center"/>
              <w:rPr/>
            </w:pPr>
            <w:r>
              <w:rPr>
                <w:sz w:val="18"/>
                <w:szCs w:val="18"/>
              </w:rPr>
              <w:t>8</w:t>
            </w:r>
          </w:p>
        </w:tc>
      </w:tr>
      <w:tr>
        <w:trPr/>
        <w:tc>
          <w:tcPr>
            <w:tcW w:w="1070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/>
            </w:pPr>
            <w:r>
              <w:rPr>
                <w:sz w:val="18"/>
                <w:szCs w:val="18"/>
              </w:rPr>
              <w:t>Сметы основного договора</w:t>
            </w:r>
          </w:p>
        </w:tc>
      </w:tr>
      <w:tr>
        <w:trPr>
          <w:trHeight w:val="287" w:hRule="atLeast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/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339" w:hRule="atLeast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/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/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18"/>
                <w:szCs w:val="18"/>
              </w:rPr>
              <w:t>Итого по сметам основного договора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1070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/>
            </w:pPr>
            <w:r>
              <w:rPr>
                <w:sz w:val="18"/>
                <w:szCs w:val="18"/>
              </w:rPr>
              <w:t>Включить дополнительным соглашением № 1</w:t>
            </w:r>
          </w:p>
        </w:tc>
      </w:tr>
      <w:tr>
        <w:trPr>
          <w:trHeight w:val="321" w:hRule="atLeast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/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/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027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/>
            </w:pPr>
            <w:r>
              <w:rPr>
                <w:sz w:val="18"/>
                <w:szCs w:val="18"/>
              </w:rPr>
              <w:t>Исключить дополнительным соглашением № 2</w:t>
            </w:r>
          </w:p>
        </w:tc>
      </w:tr>
      <w:tr>
        <w:trPr>
          <w:trHeight w:val="321" w:hRule="atLeast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/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18"/>
                <w:szCs w:val="18"/>
              </w:rPr>
              <w:t>Итого по главе №: __________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18"/>
                <w:szCs w:val="18"/>
              </w:rPr>
              <w:t>Итого по главам №№: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18"/>
                <w:szCs w:val="18"/>
              </w:rPr>
              <w:t>Всего по ССР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83" w:hRule="atLeast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i/>
                <w:sz w:val="18"/>
                <w:szCs w:val="18"/>
                <w:u w:val="single"/>
              </w:rPr>
              <w:t>Справочно</w:t>
            </w:r>
            <w:r>
              <w:rPr>
                <w:i/>
                <w:sz w:val="18"/>
                <w:szCs w:val="18"/>
              </w:rPr>
              <w:t>.</w:t>
            </w:r>
          </w:p>
          <w:p>
            <w:pPr>
              <w:pStyle w:val="Normal"/>
              <w:widowControl w:val="false"/>
              <w:rPr>
                <w:i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i/>
                <w:sz w:val="18"/>
                <w:szCs w:val="18"/>
              </w:rPr>
              <w:t>Сумма изменения</w:t>
              <w:br/>
              <w:t>(увеличения/уменьшения) стоимости основного договора на основании ДС № 1, без НДС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i/>
                <w:sz w:val="18"/>
                <w:szCs w:val="18"/>
              </w:rPr>
              <w:t>Сумма изменения</w:t>
              <w:br/>
              <w:t>(увеличения/уменьшения) стоимости основного договора на основании ДС № 2, без НДС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3348" w:type="dxa"/>
            <w:gridSpan w:val="4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2091" w:leader="none"/>
              </w:tabs>
              <w:ind w:left="425" w:hanging="425"/>
              <w:rPr/>
            </w:pPr>
            <w:r>
              <w:rPr>
                <w:sz w:val="20"/>
                <w:szCs w:val="20"/>
              </w:rPr>
              <w:t xml:space="preserve">        </w:t>
            </w:r>
            <w:r>
              <w:rPr>
                <w:sz w:val="20"/>
                <w:szCs w:val="20"/>
              </w:rPr>
              <w:t>Руководитель</w:t>
            </w:r>
          </w:p>
          <w:p>
            <w:pPr>
              <w:pStyle w:val="Normal"/>
              <w:widowControl w:val="false"/>
              <w:ind w:left="425" w:hanging="425"/>
              <w:rPr/>
            </w:pPr>
            <w:r>
              <w:rPr>
                <w:sz w:val="20"/>
                <w:szCs w:val="20"/>
              </w:rPr>
              <w:t xml:space="preserve">        </w:t>
            </w:r>
            <w:r>
              <w:rPr>
                <w:sz w:val="20"/>
                <w:szCs w:val="20"/>
              </w:rPr>
              <w:t>проектной организации</w:t>
            </w:r>
          </w:p>
        </w:tc>
        <w:tc>
          <w:tcPr>
            <w:tcW w:w="7356" w:type="dxa"/>
            <w:gridSpan w:val="7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3348" w:type="dxa"/>
            <w:gridSpan w:val="4"/>
            <w:tcBorders/>
          </w:tcPr>
          <w:p>
            <w:pPr>
              <w:pStyle w:val="Normal"/>
              <w:widowControl w:val="false"/>
              <w:ind w:firstLine="7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356" w:type="dxa"/>
            <w:gridSpan w:val="7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/>
            </w:pPr>
            <w:r>
              <w:rPr>
                <w:sz w:val="20"/>
                <w:szCs w:val="20"/>
              </w:rPr>
              <w:t>[подпись (инициалы, фамилия)]</w:t>
            </w:r>
          </w:p>
        </w:tc>
      </w:tr>
      <w:tr>
        <w:trPr/>
        <w:tc>
          <w:tcPr>
            <w:tcW w:w="3348" w:type="dxa"/>
            <w:gridSpan w:val="4"/>
            <w:tcBorders/>
          </w:tcPr>
          <w:p>
            <w:pPr>
              <w:pStyle w:val="Normal"/>
              <w:widowControl w:val="false"/>
              <w:ind w:left="141" w:hanging="141"/>
              <w:jc w:val="center"/>
              <w:rPr/>
            </w:pPr>
            <w:r>
              <w:rPr>
                <w:sz w:val="20"/>
                <w:szCs w:val="20"/>
              </w:rPr>
              <w:t>Главный инженер проекта</w:t>
            </w:r>
          </w:p>
        </w:tc>
        <w:tc>
          <w:tcPr>
            <w:tcW w:w="7356" w:type="dxa"/>
            <w:gridSpan w:val="7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3348" w:type="dxa"/>
            <w:gridSpan w:val="4"/>
            <w:tcBorders/>
          </w:tcPr>
          <w:p>
            <w:pPr>
              <w:pStyle w:val="Normal"/>
              <w:widowControl w:val="false"/>
              <w:ind w:firstLine="7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356" w:type="dxa"/>
            <w:gridSpan w:val="7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/>
            </w:pPr>
            <w:r>
              <w:rPr>
                <w:sz w:val="20"/>
                <w:szCs w:val="20"/>
              </w:rPr>
              <w:t>[подпись (инициалы, фамилия)]</w:t>
            </w:r>
          </w:p>
        </w:tc>
      </w:tr>
      <w:tr>
        <w:trPr/>
        <w:tc>
          <w:tcPr>
            <w:tcW w:w="1710" w:type="dxa"/>
            <w:gridSpan w:val="3"/>
            <w:tcBorders/>
          </w:tcPr>
          <w:p>
            <w:pPr>
              <w:pStyle w:val="Normal"/>
              <w:widowControl w:val="false"/>
              <w:ind w:firstLine="1"/>
              <w:jc w:val="center"/>
              <w:rPr/>
            </w:pPr>
            <w:r>
              <w:rPr>
                <w:sz w:val="20"/>
                <w:szCs w:val="20"/>
              </w:rPr>
              <w:t>Начальник</w:t>
            </w:r>
          </w:p>
        </w:tc>
        <w:tc>
          <w:tcPr>
            <w:tcW w:w="1695" w:type="dxa"/>
            <w:gridSpan w:val="2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14" w:type="dxa"/>
            <w:gridSpan w:val="2"/>
            <w:tcBorders/>
          </w:tcPr>
          <w:p>
            <w:pPr>
              <w:pStyle w:val="Normal"/>
              <w:widowControl w:val="false"/>
              <w:ind w:hanging="67"/>
              <w:jc w:val="center"/>
              <w:rPr/>
            </w:pPr>
            <w:r>
              <w:rPr>
                <w:sz w:val="20"/>
                <w:szCs w:val="20"/>
              </w:rPr>
              <w:t>отдела</w:t>
            </w:r>
          </w:p>
        </w:tc>
        <w:tc>
          <w:tcPr>
            <w:tcW w:w="5585" w:type="dxa"/>
            <w:gridSpan w:val="4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1710" w:type="dxa"/>
            <w:gridSpan w:val="3"/>
            <w:tcBorders/>
          </w:tcPr>
          <w:p>
            <w:pPr>
              <w:pStyle w:val="Normal"/>
              <w:widowControl w:val="false"/>
              <w:ind w:firstLine="7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ind w:hanging="198"/>
              <w:jc w:val="center"/>
              <w:rPr/>
            </w:pPr>
            <w:r>
              <w:rPr>
                <w:sz w:val="20"/>
                <w:szCs w:val="20"/>
              </w:rPr>
              <w:t>(наименование)</w:t>
            </w:r>
          </w:p>
        </w:tc>
        <w:tc>
          <w:tcPr>
            <w:tcW w:w="1714" w:type="dxa"/>
            <w:gridSpan w:val="2"/>
            <w:tcBorders/>
          </w:tcPr>
          <w:p>
            <w:pPr>
              <w:pStyle w:val="Normal"/>
              <w:widowControl w:val="false"/>
              <w:ind w:firstLine="7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585" w:type="dxa"/>
            <w:gridSpan w:val="4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/>
            </w:pPr>
            <w:r>
              <w:rPr>
                <w:sz w:val="20"/>
                <w:szCs w:val="20"/>
              </w:rPr>
              <w:t>[подпись (инициалы, фамилия)]</w:t>
            </w:r>
          </w:p>
        </w:tc>
      </w:tr>
      <w:tr>
        <w:trPr/>
        <w:tc>
          <w:tcPr>
            <w:tcW w:w="1710" w:type="dxa"/>
            <w:gridSpan w:val="3"/>
            <w:tcBorders/>
          </w:tcPr>
          <w:p>
            <w:pPr>
              <w:pStyle w:val="Normal"/>
              <w:widowControl w:val="false"/>
              <w:ind w:left="141" w:hanging="141"/>
              <w:jc w:val="center"/>
              <w:rPr/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Заказчик</w:t>
            </w:r>
          </w:p>
        </w:tc>
        <w:tc>
          <w:tcPr>
            <w:tcW w:w="8994" w:type="dxa"/>
            <w:gridSpan w:val="8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1710" w:type="dxa"/>
            <w:gridSpan w:val="3"/>
            <w:tcBorders/>
          </w:tcPr>
          <w:p>
            <w:pPr>
              <w:pStyle w:val="Normal"/>
              <w:widowControl w:val="false"/>
              <w:ind w:firstLine="7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994" w:type="dxa"/>
            <w:gridSpan w:val="8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/>
            </w:pPr>
            <w:r>
              <w:rPr>
                <w:sz w:val="20"/>
                <w:szCs w:val="20"/>
              </w:rPr>
              <w:t>[должность, подпись (инициалы, фамилия)]</w:t>
            </w:r>
          </w:p>
        </w:tc>
      </w:tr>
    </w:tbl>
    <w:p>
      <w:pPr>
        <w:sectPr>
          <w:headerReference w:type="default" r:id="rId9"/>
          <w:headerReference w:type="first" r:id="rId10"/>
          <w:type w:val="nextPage"/>
          <w:pgSz w:w="11906" w:h="16838"/>
          <w:pgMar w:left="426" w:right="567" w:gutter="0" w:header="709" w:top="766" w:footer="0" w:bottom="340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ind w:left="426" w:hanging="426"/>
        <w:rPr/>
      </w:pPr>
      <w:r>
        <w:rPr>
          <w:b/>
          <w:sz w:val="20"/>
          <w:szCs w:val="20"/>
        </w:rPr>
        <w:t>ОБРАЗЕЦ</w:t>
      </w:r>
    </w:p>
    <w:p>
      <w:pPr>
        <w:pStyle w:val="Normal"/>
        <w:ind w:left="5811" w:hanging="0"/>
        <w:jc w:val="right"/>
        <w:rPr/>
      </w:pPr>
      <w:r>
        <w:rPr>
          <w:sz w:val="22"/>
          <w:szCs w:val="22"/>
        </w:rPr>
        <w:t xml:space="preserve"> </w:t>
      </w:r>
      <w:r>
        <w:rPr>
          <w:sz w:val="20"/>
          <w:szCs w:val="20"/>
        </w:rPr>
        <w:t>Приложение №3</w:t>
      </w:r>
    </w:p>
    <w:p>
      <w:pPr>
        <w:pStyle w:val="Normal"/>
        <w:widowControl w:val="false"/>
        <w:ind w:left="5811" w:firstLine="720"/>
        <w:rPr/>
      </w:pPr>
      <w:r>
        <w:rPr>
          <w:rFonts w:cs="Arial"/>
          <w:sz w:val="20"/>
          <w:szCs w:val="20"/>
        </w:rPr>
        <w:t xml:space="preserve"> </w:t>
      </w:r>
    </w:p>
    <w:p>
      <w:pPr>
        <w:pStyle w:val="Normal"/>
        <w:widowControl w:val="false"/>
        <w:ind w:left="5811" w:firstLine="720"/>
        <w:jc w:val="right"/>
        <w:rPr/>
      </w:pPr>
      <w:r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 xml:space="preserve">к Требованиям к оформлению и составлению               </w:t>
      </w:r>
    </w:p>
    <w:p>
      <w:pPr>
        <w:pStyle w:val="Normal"/>
        <w:widowControl w:val="false"/>
        <w:ind w:left="5811" w:firstLine="720"/>
        <w:jc w:val="right"/>
        <w:rPr/>
      </w:pPr>
      <w:r>
        <w:rPr>
          <w:rFonts w:cs="Arial"/>
          <w:sz w:val="20"/>
          <w:szCs w:val="20"/>
        </w:rPr>
        <w:t xml:space="preserve">сметной документации </w:t>
      </w:r>
    </w:p>
    <w:p>
      <w:pPr>
        <w:pStyle w:val="Normal"/>
        <w:widowControl w:val="false"/>
        <w:ind w:left="5811" w:firstLine="720"/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</w:r>
    </w:p>
    <w:p>
      <w:pPr>
        <w:pStyle w:val="Normal"/>
        <w:widowControl w:val="false"/>
        <w:ind w:left="5811" w:firstLine="720"/>
        <w:jc w:val="right"/>
        <w:rPr/>
      </w:pPr>
      <w:r>
        <w:rPr>
          <w:rFonts w:cs="Arial"/>
          <w:sz w:val="20"/>
          <w:szCs w:val="20"/>
        </w:rPr>
        <w:t>Приложение №___</w:t>
      </w:r>
    </w:p>
    <w:p>
      <w:pPr>
        <w:pStyle w:val="Normal"/>
        <w:widowControl w:val="false"/>
        <w:ind w:left="5811" w:firstLine="720"/>
        <w:jc w:val="right"/>
        <w:rPr/>
      </w:pPr>
      <w:r>
        <w:rPr>
          <w:rFonts w:cs="Arial"/>
          <w:sz w:val="20"/>
          <w:szCs w:val="20"/>
        </w:rPr>
        <w:t>к дополнительному соглашению от ___ № ___</w:t>
      </w:r>
    </w:p>
    <w:p>
      <w:pPr>
        <w:pStyle w:val="Normal"/>
        <w:widowControl w:val="false"/>
        <w:ind w:left="5811" w:firstLine="720"/>
        <w:jc w:val="right"/>
        <w:rPr/>
      </w:pPr>
      <w:r>
        <w:rPr>
          <w:rFonts w:cs="Arial"/>
          <w:sz w:val="20"/>
          <w:szCs w:val="20"/>
        </w:rPr>
        <w:t xml:space="preserve">                                   </w:t>
      </w:r>
      <w:r>
        <w:rPr>
          <w:rFonts w:cs="Arial"/>
          <w:sz w:val="20"/>
          <w:szCs w:val="20"/>
        </w:rPr>
        <w:t xml:space="preserve">к договору от_______№_____ </w:t>
      </w:r>
    </w:p>
    <w:p>
      <w:pPr>
        <w:pStyle w:val="Normal"/>
        <w:widowControl w:val="false"/>
        <w:ind w:firstLine="720"/>
        <w:jc w:val="center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</w:r>
    </w:p>
    <w:p>
      <w:pPr>
        <w:pStyle w:val="Normal"/>
        <w:widowControl w:val="false"/>
        <w:jc w:val="center"/>
        <w:rPr/>
      </w:pPr>
      <w:r>
        <w:rPr>
          <w:b/>
          <w:sz w:val="20"/>
          <w:szCs w:val="20"/>
        </w:rPr>
        <w:t>Сопоставительная ведомость изменения сметной стоимости</w:t>
      </w:r>
    </w:p>
    <w:tbl>
      <w:tblPr>
        <w:tblpPr w:bottomFromText="0" w:horzAnchor="margin" w:leftFromText="180" w:rightFromText="180" w:tblpX="0" w:tblpY="125" w:topFromText="0" w:vertAnchor="text"/>
        <w:tblW w:w="10206" w:type="dxa"/>
        <w:jc w:val="left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424"/>
        <w:gridCol w:w="851"/>
        <w:gridCol w:w="850"/>
        <w:gridCol w:w="1278"/>
        <w:gridCol w:w="1278"/>
        <w:gridCol w:w="1699"/>
        <w:gridCol w:w="1721"/>
        <w:gridCol w:w="2103"/>
      </w:tblGrid>
      <w:tr>
        <w:trPr>
          <w:trHeight w:val="433" w:hRule="atLeast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18"/>
                <w:szCs w:val="18"/>
              </w:rPr>
              <w:t xml:space="preserve">№ </w:t>
            </w:r>
            <w:r>
              <w:rPr>
                <w:sz w:val="18"/>
                <w:szCs w:val="18"/>
              </w:rPr>
              <w:t>п/п</w:t>
            </w:r>
          </w:p>
        </w:tc>
        <w:tc>
          <w:tcPr>
            <w:tcW w:w="2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18"/>
                <w:szCs w:val="18"/>
              </w:rPr>
              <w:t>Обоснование изменений сметной стоимости</w:t>
            </w:r>
          </w:p>
        </w:tc>
      </w:tr>
      <w:tr>
        <w:trPr/>
        <w:tc>
          <w:tcPr>
            <w:tcW w:w="4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18"/>
                <w:szCs w:val="18"/>
              </w:rPr>
              <w:t>шифр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18"/>
                <w:szCs w:val="18"/>
              </w:rPr>
              <w:t>наименование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18"/>
                <w:szCs w:val="18"/>
              </w:rPr>
              <w:t xml:space="preserve">№ </w:t>
            </w:r>
            <w:r>
              <w:rPr>
                <w:sz w:val="18"/>
                <w:szCs w:val="18"/>
              </w:rPr>
              <w:t>позиции сметного расчета (сметы) в ССР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18"/>
                <w:szCs w:val="18"/>
              </w:rPr>
              <w:t>подлежащая включению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18"/>
                <w:szCs w:val="18"/>
              </w:rPr>
              <w:t>подлежащая исключению</w:t>
            </w:r>
          </w:p>
        </w:tc>
        <w:tc>
          <w:tcPr>
            <w:tcW w:w="17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21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rPr/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18"/>
                <w:szCs w:val="18"/>
              </w:rPr>
              <w:t>8</w:t>
            </w:r>
          </w:p>
        </w:tc>
      </w:tr>
      <w:tr>
        <w:trPr/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</w:tbl>
    <w:p>
      <w:pPr>
        <w:pStyle w:val="Normal"/>
        <w:widowControl w:val="false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Normal"/>
        <w:tabs>
          <w:tab w:val="clear" w:pos="708"/>
          <w:tab w:val="left" w:pos="1134" w:leader="none"/>
        </w:tabs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ind w:left="5811" w:hanging="0"/>
        <w:jc w:val="righ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5811" w:hanging="0"/>
        <w:jc w:val="righ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5811" w:hanging="0"/>
        <w:jc w:val="righ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5811" w:hanging="0"/>
        <w:jc w:val="righ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5811" w:hanging="0"/>
        <w:jc w:val="righ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5811" w:hanging="0"/>
        <w:jc w:val="righ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5811" w:hanging="0"/>
        <w:jc w:val="righ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5811" w:hanging="0"/>
        <w:jc w:val="righ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5811" w:hanging="0"/>
        <w:jc w:val="righ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5811" w:hanging="0"/>
        <w:jc w:val="righ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5811" w:hanging="0"/>
        <w:jc w:val="righ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5811" w:hanging="0"/>
        <w:jc w:val="righ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5811" w:hanging="0"/>
        <w:jc w:val="righ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5811" w:hanging="0"/>
        <w:jc w:val="righ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5811" w:hanging="0"/>
        <w:jc w:val="righ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5811" w:hanging="0"/>
        <w:jc w:val="righ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5811" w:hanging="0"/>
        <w:jc w:val="righ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5811" w:hanging="0"/>
        <w:jc w:val="righ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5811" w:hanging="0"/>
        <w:jc w:val="righ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5811" w:hanging="0"/>
        <w:jc w:val="righ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5811" w:hanging="0"/>
        <w:jc w:val="righ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5811" w:hanging="0"/>
        <w:jc w:val="righ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5811" w:hanging="0"/>
        <w:jc w:val="righ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5811" w:hanging="0"/>
        <w:jc w:val="righ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5811" w:hanging="0"/>
        <w:jc w:val="righ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5811" w:hanging="0"/>
        <w:jc w:val="righ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5811" w:hanging="0"/>
        <w:jc w:val="righ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5811" w:hanging="0"/>
        <w:jc w:val="righ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5811" w:hanging="0"/>
        <w:jc w:val="righ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5811" w:hanging="0"/>
        <w:jc w:val="righ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5811" w:hanging="0"/>
        <w:jc w:val="righ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5811" w:hanging="0"/>
        <w:jc w:val="righ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5811" w:hanging="0"/>
        <w:jc w:val="righ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5811" w:hanging="0"/>
        <w:jc w:val="righ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5811" w:hanging="0"/>
        <w:jc w:val="righ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5811" w:hanging="0"/>
        <w:jc w:val="righ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5811" w:hanging="0"/>
        <w:jc w:val="righ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5811" w:hang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5811" w:hang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5811" w:hang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357" w:hanging="0"/>
        <w:jc w:val="right"/>
        <w:rPr/>
      </w:pPr>
      <w:r>
        <w:rPr>
          <w:sz w:val="20"/>
          <w:szCs w:val="20"/>
        </w:rPr>
        <w:t xml:space="preserve">Приложение №4 </w:t>
      </w:r>
    </w:p>
    <w:p>
      <w:pPr>
        <w:pStyle w:val="Normal"/>
        <w:widowControl w:val="false"/>
        <w:ind w:left="5811" w:firstLine="720"/>
        <w:jc w:val="right"/>
        <w:rPr/>
      </w:pPr>
      <w:r>
        <w:rPr>
          <w:rFonts w:cs="Arial"/>
          <w:sz w:val="20"/>
          <w:szCs w:val="20"/>
        </w:rPr>
        <w:t xml:space="preserve">Требованиям к оформлению и составлению </w:t>
      </w:r>
    </w:p>
    <w:p>
      <w:pPr>
        <w:pStyle w:val="Normal"/>
        <w:widowControl w:val="false"/>
        <w:ind w:left="5811" w:firstLine="720"/>
        <w:jc w:val="right"/>
        <w:rPr/>
      </w:pPr>
      <w:r>
        <w:rPr>
          <w:rFonts w:cs="Arial"/>
          <w:sz w:val="20"/>
          <w:szCs w:val="20"/>
        </w:rPr>
        <w:t xml:space="preserve">сметной документации </w:t>
      </w:r>
    </w:p>
    <w:p>
      <w:pPr>
        <w:pStyle w:val="Normal"/>
        <w:widowControl w:val="false"/>
        <w:ind w:left="5811" w:firstLine="720"/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</w:r>
    </w:p>
    <w:p>
      <w:pPr>
        <w:pStyle w:val="Normal"/>
        <w:widowControl w:val="false"/>
        <w:ind w:left="5811" w:firstLine="720"/>
        <w:jc w:val="right"/>
        <w:rPr/>
      </w:pPr>
      <w:r>
        <w:rPr>
          <w:rFonts w:cs="Arial"/>
          <w:sz w:val="20"/>
          <w:szCs w:val="20"/>
        </w:rPr>
        <w:t>Приложение №___</w:t>
      </w:r>
    </w:p>
    <w:p>
      <w:pPr>
        <w:pStyle w:val="Normal"/>
        <w:widowControl w:val="false"/>
        <w:ind w:left="5811" w:firstLine="720"/>
        <w:jc w:val="right"/>
        <w:rPr/>
      </w:pPr>
      <w:r>
        <w:rPr>
          <w:rFonts w:cs="Arial"/>
          <w:sz w:val="20"/>
          <w:szCs w:val="20"/>
        </w:rPr>
        <w:t>к дополнительному соглашению от ___ № ___</w:t>
      </w:r>
    </w:p>
    <w:p>
      <w:pPr>
        <w:pStyle w:val="Normal"/>
        <w:widowControl w:val="false"/>
        <w:ind w:left="5811" w:firstLine="720"/>
        <w:jc w:val="center"/>
        <w:rPr/>
      </w:pPr>
      <w:r>
        <w:rPr>
          <w:rFonts w:cs="Arial"/>
          <w:sz w:val="20"/>
          <w:szCs w:val="20"/>
        </w:rPr>
        <w:t xml:space="preserve">к договору от_______№_____ 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widowControl w:val="false"/>
        <w:ind w:firstLine="720"/>
        <w:jc w:val="center"/>
        <w:rPr/>
      </w:pPr>
      <w:r>
        <w:rPr>
          <w:b/>
          <w:sz w:val="20"/>
          <w:szCs w:val="20"/>
        </w:rPr>
        <w:t>Сопоставительная ведомость объемов работ</w:t>
      </w:r>
    </w:p>
    <w:p>
      <w:pPr>
        <w:pStyle w:val="Normal"/>
        <w:widowControl w:val="false"/>
        <w:ind w:firstLine="720"/>
        <w:jc w:val="both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tbl>
      <w:tblPr>
        <w:tblW w:w="10494" w:type="dxa"/>
        <w:jc w:val="left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286"/>
        <w:gridCol w:w="568"/>
        <w:gridCol w:w="851"/>
        <w:gridCol w:w="1208"/>
        <w:gridCol w:w="921"/>
        <w:gridCol w:w="850"/>
        <w:gridCol w:w="849"/>
        <w:gridCol w:w="850"/>
        <w:gridCol w:w="850"/>
        <w:gridCol w:w="709"/>
        <w:gridCol w:w="567"/>
        <w:gridCol w:w="850"/>
        <w:gridCol w:w="1134"/>
      </w:tblGrid>
      <w:tr>
        <w:trPr>
          <w:trHeight w:val="880" w:hRule="atLeast"/>
        </w:trPr>
        <w:tc>
          <w:tcPr>
            <w:tcW w:w="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62" w:hanging="0"/>
              <w:jc w:val="center"/>
              <w:rPr/>
            </w:pPr>
            <w:r>
              <w:rPr>
                <w:sz w:val="18"/>
                <w:szCs w:val="18"/>
              </w:rPr>
              <w:t xml:space="preserve">№№ </w:t>
            </w:r>
            <w:r>
              <w:rPr>
                <w:sz w:val="18"/>
                <w:szCs w:val="18"/>
              </w:rPr>
              <w:t>пп</w:t>
            </w:r>
          </w:p>
        </w:tc>
        <w:tc>
          <w:tcPr>
            <w:tcW w:w="35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63"/>
              <w:jc w:val="center"/>
              <w:rPr/>
            </w:pPr>
            <w:r>
              <w:rPr>
                <w:sz w:val="18"/>
                <w:szCs w:val="18"/>
              </w:rPr>
              <w:t>Ед. изм.</w:t>
            </w: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18"/>
                <w:szCs w:val="18"/>
              </w:rPr>
              <w:t>Обоснование изменений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360" w:hanging="1416"/>
              <w:jc w:val="center"/>
              <w:rPr/>
            </w:pPr>
            <w:r>
              <w:rPr>
                <w:sz w:val="18"/>
                <w:szCs w:val="18"/>
              </w:rPr>
              <w:t>Примечание</w:t>
            </w:r>
          </w:p>
        </w:tc>
      </w:tr>
      <w:tr>
        <w:trPr>
          <w:trHeight w:val="62" w:hRule="atLeast"/>
        </w:trPr>
        <w:tc>
          <w:tcPr>
            <w:tcW w:w="2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797" w:firstLine="720"/>
              <w:jc w:val="center"/>
              <w:rPr/>
            </w:pPr>
            <w:r>
              <w:rPr>
                <w:sz w:val="18"/>
                <w:szCs w:val="18"/>
              </w:rPr>
              <w:t>шифр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64" w:hanging="0"/>
              <w:jc w:val="center"/>
              <w:rPr/>
            </w:pPr>
            <w:r>
              <w:rPr>
                <w:sz w:val="18"/>
                <w:szCs w:val="18"/>
              </w:rPr>
              <w:t>Наименование</w:t>
            </w: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18"/>
                <w:szCs w:val="18"/>
              </w:rPr>
              <w:t xml:space="preserve">№ </w:t>
            </w:r>
            <w:r>
              <w:rPr>
                <w:sz w:val="18"/>
                <w:szCs w:val="18"/>
              </w:rPr>
              <w:t>позиции в сметном расчете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00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1308" w:hRule="atLeast"/>
        </w:trPr>
        <w:tc>
          <w:tcPr>
            <w:tcW w:w="2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18"/>
                <w:szCs w:val="18"/>
              </w:rPr>
              <w:t>до изменений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18"/>
                <w:szCs w:val="18"/>
              </w:rPr>
              <w:t>с учетом изменений</w:t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9"/>
              <w:rPr/>
            </w:pPr>
            <w:r>
              <w:rPr>
                <w:sz w:val="18"/>
                <w:szCs w:val="18"/>
              </w:rPr>
              <w:t>до изменений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18"/>
                <w:szCs w:val="18"/>
              </w:rPr>
              <w:t>с учетом изменений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800" w:firstLine="720"/>
              <w:jc w:val="center"/>
              <w:rPr/>
            </w:pPr>
            <w:r>
              <w:rPr>
                <w:sz w:val="18"/>
                <w:szCs w:val="18"/>
              </w:rPr>
              <w:t>увели</w:t>
            </w:r>
          </w:p>
          <w:p>
            <w:pPr>
              <w:pStyle w:val="Normal"/>
              <w:widowControl w:val="false"/>
              <w:ind w:left="-800" w:firstLine="720"/>
              <w:jc w:val="center"/>
              <w:rPr/>
            </w:pPr>
            <w:r>
              <w:rPr>
                <w:sz w:val="18"/>
                <w:szCs w:val="18"/>
              </w:rPr>
              <w:t>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2" w:hRule="atLeast"/>
        </w:trPr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</w:tbl>
    <w:p>
      <w:pPr>
        <w:pStyle w:val="Normal"/>
        <w:widowControl w:val="false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ind w:left="5811" w:hang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5811" w:hang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5811" w:hang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5811" w:hang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5811" w:hang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5811" w:hang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5811" w:hang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5811" w:hang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5811" w:hang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5811" w:hang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5811" w:hang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5811" w:hang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5811" w:hang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5811" w:hang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5811" w:hang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5811" w:hang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5811" w:hang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5811" w:hang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5811" w:hang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5811" w:hang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5811" w:hang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5811" w:hang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5811" w:hang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5811" w:hang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5811" w:hang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5811" w:hang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5811" w:hang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5811" w:hang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5811" w:hang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5811" w:right="140" w:hanging="0"/>
        <w:jc w:val="right"/>
        <w:rPr/>
      </w:pPr>
      <w:r>
        <w:rPr>
          <w:sz w:val="20"/>
          <w:szCs w:val="22"/>
        </w:rPr>
        <w:t>Приложение №1</w:t>
      </w:r>
    </w:p>
    <w:p>
      <w:pPr>
        <w:pStyle w:val="Normal"/>
        <w:ind w:left="5811" w:right="140" w:hanging="0"/>
        <w:jc w:val="right"/>
        <w:rPr/>
      </w:pPr>
      <w:r>
        <w:rPr>
          <w:sz w:val="20"/>
          <w:szCs w:val="22"/>
        </w:rPr>
        <w:t>к требованиям</w:t>
      </w:r>
    </w:p>
    <w:p>
      <w:pPr>
        <w:pStyle w:val="Normal"/>
        <w:ind w:left="5811" w:right="140" w:hanging="0"/>
        <w:jc w:val="right"/>
        <w:rPr/>
      </w:pPr>
      <w:r>
        <w:rPr>
          <w:sz w:val="20"/>
          <w:szCs w:val="22"/>
        </w:rPr>
        <w:t xml:space="preserve"> </w:t>
      </w:r>
      <w:r>
        <w:rPr>
          <w:sz w:val="20"/>
          <w:szCs w:val="22"/>
        </w:rPr>
        <w:t>по заполнению формы 3П</w:t>
      </w:r>
    </w:p>
    <w:p>
      <w:pPr>
        <w:pStyle w:val="Normal"/>
        <w:ind w:left="5811" w:right="140" w:hanging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ind w:right="140" w:hanging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jc w:val="center"/>
        <w:rPr/>
      </w:pPr>
      <w:r>
        <w:rPr>
          <w:b/>
          <w:sz w:val="22"/>
          <w:szCs w:val="22"/>
        </w:rPr>
        <w:t>СПРАВКА от__________ (указать дату составления справки) (Образец)</w:t>
      </w:r>
    </w:p>
    <w:p>
      <w:pPr>
        <w:pStyle w:val="Normal"/>
        <w:rPr/>
      </w:pPr>
      <w:r>
        <w:rPr>
          <w:sz w:val="22"/>
          <w:szCs w:val="22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tbl>
      <w:tblPr>
        <w:tblW w:w="8793" w:type="dxa"/>
        <w:jc w:val="left"/>
        <w:tblInd w:w="2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747"/>
        <w:gridCol w:w="3942"/>
        <w:gridCol w:w="3104"/>
      </w:tblGrid>
      <w:tr>
        <w:trPr>
          <w:trHeight w:val="325" w:hRule="atLeast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r>
              <w:rPr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39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2"/>
                <w:szCs w:val="22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2"/>
                <w:szCs w:val="22"/>
              </w:rPr>
              <w:t>Заработная плата в день, в руб.</w:t>
            </w:r>
          </w:p>
        </w:tc>
      </w:tr>
      <w:tr>
        <w:trPr>
          <w:trHeight w:val="630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2"/>
                <w:szCs w:val="22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>
        <w:trPr>
          <w:trHeight w:val="581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2"/>
                <w:szCs w:val="22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>
        <w:trPr>
          <w:trHeight w:val="634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2"/>
                <w:szCs w:val="22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</w:tbl>
    <w:p>
      <w:pPr>
        <w:pStyle w:val="Normal"/>
        <w:rPr/>
      </w:pPr>
      <w:r>
        <w:rPr>
          <w:sz w:val="22"/>
          <w:szCs w:val="22"/>
        </w:rPr>
        <w:tab/>
      </w:r>
    </w:p>
    <w:p>
      <w:pPr>
        <w:pStyle w:val="Normal"/>
        <w:rPr/>
      </w:pPr>
      <w:r>
        <w:rPr>
          <w:sz w:val="22"/>
          <w:szCs w:val="22"/>
        </w:rPr>
        <w:t>Накладные расходы _______(%)</w:t>
        <w:tab/>
        <w:tab/>
        <w:tab/>
        <w:tab/>
        <w:tab/>
        <w:tab/>
      </w:r>
    </w:p>
    <w:p>
      <w:pPr>
        <w:pStyle w:val="Normal"/>
        <w:rPr/>
      </w:pPr>
      <w:r>
        <w:rPr>
          <w:sz w:val="22"/>
          <w:szCs w:val="22"/>
        </w:rPr>
        <w:t>Рентабельность предприятия_________(%)</w:t>
        <w:tab/>
        <w:tab/>
        <w:tab/>
        <w:tab/>
        <w:tab/>
        <w:tab/>
        <w:t xml:space="preserve"> 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jc w:val="both"/>
        <w:rPr/>
      </w:pPr>
      <w:r>
        <w:rPr>
          <w:sz w:val="22"/>
          <w:szCs w:val="22"/>
        </w:rPr>
        <w:t>(Должность единоличного исполнительного органа контрагента/подрядчика)</w:t>
        <w:tab/>
        <w:tab/>
      </w:r>
    </w:p>
    <w:p>
      <w:pPr>
        <w:pStyle w:val="Normal"/>
        <w:jc w:val="both"/>
        <w:rPr/>
      </w:pPr>
      <w:r>
        <w:rPr>
          <w:sz w:val="22"/>
          <w:szCs w:val="22"/>
        </w:rPr>
        <w:t>(краткое/полное наименование организации) ________________ (ФИО)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/>
      </w:pPr>
      <w:r>
        <w:rPr>
          <w:sz w:val="22"/>
          <w:szCs w:val="22"/>
        </w:rPr>
        <w:t>м.п.</w:t>
      </w:r>
    </w:p>
    <w:p>
      <w:pPr>
        <w:pStyle w:val="Normal"/>
        <w:jc w:val="both"/>
        <w:rPr/>
      </w:pPr>
      <w:r>
        <w:rPr>
          <w:sz w:val="22"/>
          <w:szCs w:val="22"/>
        </w:rPr>
        <w:t>(Главный бухгалтер)</w:t>
      </w:r>
      <w:r>
        <w:rPr>
          <w:rStyle w:val="FootnoteReference"/>
          <w:sz w:val="22"/>
          <w:szCs w:val="22"/>
        </w:rPr>
        <w:footnoteReference w:id="2"/>
      </w:r>
      <w:r>
        <w:rPr>
          <w:sz w:val="22"/>
          <w:szCs w:val="22"/>
        </w:rPr>
        <w:tab/>
        <w:tab/>
      </w:r>
    </w:p>
    <w:p>
      <w:pPr>
        <w:pStyle w:val="Normal"/>
        <w:jc w:val="both"/>
        <w:rPr/>
      </w:pPr>
      <w:r>
        <w:rPr>
          <w:sz w:val="22"/>
          <w:szCs w:val="22"/>
        </w:rPr>
        <w:t>(краткое/полное наименование организации контрагента/подрядчика) _________ (ФИО)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/>
      </w:pPr>
      <w:r>
        <w:rPr>
          <w:sz w:val="22"/>
          <w:szCs w:val="22"/>
        </w:rPr>
        <w:t>м.п.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ind w:left="5811" w:right="140" w:hanging="0"/>
        <w:jc w:val="right"/>
        <w:rPr>
          <w:sz w:val="22"/>
          <w:szCs w:val="22"/>
        </w:rPr>
      </w:pPr>
      <w:r>
        <w:rPr>
          <w:sz w:val="22"/>
          <w:szCs w:val="22"/>
        </w:rPr>
      </w:r>
      <w:r>
        <w:br w:type="page"/>
      </w:r>
    </w:p>
    <w:p>
      <w:pPr>
        <w:pStyle w:val="Normal"/>
        <w:ind w:left="5811" w:right="140" w:hanging="0"/>
        <w:jc w:val="right"/>
        <w:rPr/>
      </w:pPr>
      <w:r>
        <w:rPr>
          <w:sz w:val="20"/>
          <w:szCs w:val="20"/>
        </w:rPr>
        <w:t>Приложение №2</w:t>
      </w:r>
    </w:p>
    <w:p>
      <w:pPr>
        <w:pStyle w:val="Normal"/>
        <w:ind w:left="5811" w:right="140" w:hanging="0"/>
        <w:jc w:val="right"/>
        <w:rPr/>
      </w:pPr>
      <w:r>
        <w:rPr>
          <w:sz w:val="20"/>
          <w:szCs w:val="20"/>
        </w:rPr>
        <w:t>к требованиям</w:t>
      </w:r>
    </w:p>
    <w:p>
      <w:pPr>
        <w:pStyle w:val="Normal"/>
        <w:ind w:left="5811" w:right="140" w:hanging="0"/>
        <w:jc w:val="right"/>
        <w:rPr/>
      </w:pP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>по заполнению формы 3П</w:t>
      </w:r>
    </w:p>
    <w:p>
      <w:pPr>
        <w:pStyle w:val="Normal"/>
        <w:ind w:left="5811" w:right="140" w:hanging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right="140" w:hanging="0"/>
        <w:rPr>
          <w:rFonts w:ascii="Calibri" w:hAnsi="Calibri"/>
          <w:color w:val="FF0000"/>
          <w:sz w:val="24"/>
          <w:szCs w:val="24"/>
        </w:rPr>
      </w:pPr>
      <w:r>
        <w:rPr>
          <w:rFonts w:ascii="Calibri" w:hAnsi="Calibri"/>
          <w:color w:val="FF0000"/>
          <w:sz w:val="24"/>
          <w:szCs w:val="24"/>
        </w:rPr>
      </w:r>
    </w:p>
    <w:p>
      <w:pPr>
        <w:pStyle w:val="Normal"/>
        <w:ind w:right="140" w:hanging="0"/>
        <w:rPr/>
      </w:pPr>
      <w:r>
        <w:rPr>
          <w:b/>
          <w:sz w:val="22"/>
          <w:szCs w:val="22"/>
        </w:rPr>
        <w:t xml:space="preserve">Образец расчета командировочных расходов </w:t>
      </w:r>
    </w:p>
    <w:p>
      <w:pPr>
        <w:pStyle w:val="Normal"/>
        <w:ind w:right="140" w:hanging="567"/>
        <w:jc w:val="right"/>
        <w:rPr/>
      </w:pPr>
      <w:r>
        <w:rPr>
          <w:sz w:val="22"/>
          <w:szCs w:val="22"/>
        </w:rPr>
        <w:t>Приложение № __ к смете № __</w:t>
      </w:r>
    </w:p>
    <w:p>
      <w:pPr>
        <w:pStyle w:val="Normal"/>
        <w:ind w:right="140" w:hanging="567"/>
        <w:jc w:val="center"/>
        <w:rPr/>
      </w:pPr>
      <w:r>
        <w:rPr>
          <w:b/>
          <w:sz w:val="22"/>
          <w:szCs w:val="22"/>
        </w:rPr>
        <w:t>Расчет командировочных расходов</w:t>
      </w:r>
    </w:p>
    <w:tbl>
      <w:tblPr>
        <w:tblW w:w="10177" w:type="dxa"/>
        <w:jc w:val="left"/>
        <w:tblInd w:w="2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36"/>
        <w:gridCol w:w="163"/>
        <w:gridCol w:w="989"/>
        <w:gridCol w:w="695"/>
        <w:gridCol w:w="1293"/>
        <w:gridCol w:w="933"/>
        <w:gridCol w:w="1273"/>
        <w:gridCol w:w="1253"/>
        <w:gridCol w:w="932"/>
        <w:gridCol w:w="934"/>
        <w:gridCol w:w="1275"/>
      </w:tblGrid>
      <w:tr>
        <w:trPr/>
        <w:tc>
          <w:tcPr>
            <w:tcW w:w="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  <w:lang w:val="en-US"/>
              </w:rPr>
              <w:t>/</w:t>
            </w:r>
            <w:r>
              <w:rPr>
                <w:sz w:val="20"/>
                <w:szCs w:val="20"/>
              </w:rPr>
              <w:t>п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  <w:szCs w:val="20"/>
              </w:rPr>
              <w:t xml:space="preserve">Пункт назначения </w:t>
              <w:br/>
              <w:t>(туда / обратно)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  <w:szCs w:val="20"/>
              </w:rPr>
              <w:t>Вид транспорта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  <w:szCs w:val="20"/>
              </w:rPr>
              <w:t>Стоимость проезда, руб. (без НДС)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  <w:szCs w:val="20"/>
              </w:rPr>
              <w:t>Кол-во дней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  <w:szCs w:val="20"/>
              </w:rPr>
              <w:t xml:space="preserve">Стоимость суточных, руб./сут. </w:t>
              <w:br/>
              <w:t>(без НДС)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  <w:szCs w:val="20"/>
              </w:rPr>
              <w:t xml:space="preserve">Стоимость проживания, руб./сут.. </w:t>
              <w:br/>
              <w:t>(без НДС)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  <w:szCs w:val="20"/>
              </w:rPr>
              <w:t>Кол-во командировок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  <w:szCs w:val="20"/>
              </w:rPr>
              <w:t>Кол-во командированных человек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  <w:szCs w:val="20"/>
              </w:rPr>
              <w:t xml:space="preserve">Итого стоимость командировочных расходов, руб. </w:t>
              <w:br/>
              <w:t>(без НДС)</w:t>
            </w:r>
          </w:p>
        </w:tc>
      </w:tr>
      <w:tr>
        <w:trPr/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7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  <w:szCs w:val="20"/>
              </w:rPr>
              <w:t>Из пункта 1 в пункт 5</w:t>
            </w:r>
          </w:p>
        </w:tc>
      </w:tr>
      <w:tr>
        <w:trPr/>
        <w:tc>
          <w:tcPr>
            <w:tcW w:w="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18"/>
                <w:szCs w:val="18"/>
              </w:rPr>
              <w:t>Из пункта 1 в пункт 2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18"/>
                <w:szCs w:val="18"/>
              </w:rPr>
              <w:t>Из пункта 2 в пункт 3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  <w:szCs w:val="20"/>
              </w:rPr>
              <w:t>…</w:t>
            </w:r>
          </w:p>
        </w:tc>
      </w:tr>
      <w:tr>
        <w:trPr/>
        <w:tc>
          <w:tcPr>
            <w:tcW w:w="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18"/>
                <w:szCs w:val="18"/>
              </w:rPr>
              <w:t>Из пункта 4 в пункт 5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4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  <w:szCs w:val="20"/>
              </w:rPr>
              <w:t>Итого стоимость командировочных расходов из пункта 1 в пункт 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17" w:hRule="atLeast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7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  <w:szCs w:val="20"/>
              </w:rPr>
              <w:t>Из пункта 5 в пункт 1</w:t>
            </w:r>
          </w:p>
        </w:tc>
      </w:tr>
      <w:tr>
        <w:trPr/>
        <w:tc>
          <w:tcPr>
            <w:tcW w:w="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18"/>
                <w:szCs w:val="18"/>
              </w:rPr>
              <w:t>Из пункта 5 в пункт 4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18"/>
                <w:szCs w:val="18"/>
              </w:rPr>
              <w:t>Из пункта 4 в пункт 3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0"/>
                <w:szCs w:val="20"/>
              </w:rPr>
              <w:t>…</w:t>
            </w:r>
          </w:p>
        </w:tc>
      </w:tr>
      <w:tr>
        <w:trPr/>
        <w:tc>
          <w:tcPr>
            <w:tcW w:w="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18"/>
                <w:szCs w:val="18"/>
              </w:rPr>
              <w:t>Из пункта 2 в пункт 1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4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  <w:szCs w:val="20"/>
              </w:rPr>
              <w:t>Итого стоимость командировочных расходов из пункта 5 в пункт 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4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  <w:szCs w:val="20"/>
              </w:rPr>
              <w:t>Всего стоимость командировочных расходов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ind w:left="6373" w:hanging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6373" w:hanging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6373" w:hanging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6373" w:hanging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6373" w:hanging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6373" w:hanging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6373" w:hanging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6373" w:hanging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6373" w:hanging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6373" w:hanging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6373" w:hanging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6373" w:hanging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6373" w:hanging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6373" w:hanging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6373" w:hanging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6373" w:hanging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6373" w:hanging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6373" w:hanging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2"/>
        </w:rPr>
      </w:pPr>
      <w:r>
        <w:rPr>
          <w:sz w:val="20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</w:p>
    <w:p>
      <w:pPr>
        <w:pStyle w:val="Normal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</w:r>
    </w:p>
    <w:p>
      <w:pPr>
        <w:pStyle w:val="Normal"/>
        <w:jc w:val="center"/>
        <w:rPr/>
      </w:pPr>
      <w:r>
        <w:rPr>
          <w:b/>
          <w:color w:val="000000"/>
          <w:sz w:val="22"/>
          <w:szCs w:val="22"/>
        </w:rPr>
        <w:t>Раздел 4 Требования по определению оптимальной стоимости материальных ресурсов, оборудования и прочих затрат (услуг) для включения в сметную документацию.</w:t>
      </w:r>
    </w:p>
    <w:p>
      <w:pPr>
        <w:pStyle w:val="Normal"/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</w:p>
    <w:p>
      <w:pPr>
        <w:pStyle w:val="Normal"/>
        <w:numPr>
          <w:ilvl w:val="2"/>
          <w:numId w:val="17"/>
        </w:numPr>
        <w:spacing w:lineRule="auto" w:line="276" w:before="0" w:after="200"/>
        <w:ind w:left="284" w:firstLine="283"/>
        <w:contextualSpacing/>
        <w:jc w:val="both"/>
        <w:rPr/>
      </w:pPr>
      <w:r>
        <w:rPr>
          <w:color w:val="000000"/>
          <w:sz w:val="22"/>
          <w:szCs w:val="22"/>
        </w:rPr>
        <w:t>Данные методические рекомендации разработаны в целях формирования единого подхода к определению оптимальной стоимости на материальные ресурсы, оборудование и прочие затраты для нужд ПАО «РусГидро» по данным конъюнктурного анализа.</w:t>
      </w:r>
    </w:p>
    <w:p>
      <w:pPr>
        <w:pStyle w:val="Normal"/>
        <w:numPr>
          <w:ilvl w:val="2"/>
          <w:numId w:val="17"/>
        </w:numPr>
        <w:spacing w:lineRule="auto" w:line="276" w:before="0" w:after="200"/>
        <w:ind w:left="284" w:firstLine="283"/>
        <w:contextualSpacing/>
        <w:jc w:val="both"/>
        <w:rPr/>
      </w:pPr>
      <w:r>
        <w:rPr>
          <w:color w:val="000000"/>
          <w:sz w:val="22"/>
          <w:szCs w:val="22"/>
        </w:rPr>
        <w:t xml:space="preserve">При отсутствии во ФГИС ЦС и </w:t>
      </w:r>
      <w:r>
        <w:rPr>
          <w:sz w:val="22"/>
          <w:szCs w:val="22"/>
        </w:rPr>
        <w:t xml:space="preserve">Федеральном реестре сметных нормативов, подлежащих применению при определении сметной стоимости объектов капитального строительства, строительство которых финансируется с привлечением средств федерального бюджета (далее-ФРСН) </w:t>
      </w:r>
      <w:r>
        <w:rPr>
          <w:color w:val="000000"/>
          <w:sz w:val="22"/>
          <w:szCs w:val="22"/>
        </w:rPr>
        <w:t xml:space="preserve">данных о сметных ценах в текущем уровне цен на отдельные материальные ресурсы, в том числе, </w:t>
      </w:r>
      <w:r>
        <w:rPr>
          <w:sz w:val="22"/>
          <w:szCs w:val="22"/>
        </w:rPr>
        <w:t xml:space="preserve">индивидуально изготавливаемые материальные ресурсы, не реализуемые (не производимые) в заводских условиях на территории (части территории) субъекта РФ, оборудование </w:t>
      </w:r>
      <w:r>
        <w:rPr>
          <w:color w:val="000000"/>
          <w:sz w:val="22"/>
          <w:szCs w:val="22"/>
        </w:rPr>
        <w:t xml:space="preserve">и прочие затраты (услуги) сметная стоимость определяется по наиболее экономичному варианту (минимальному значению) на основании </w:t>
      </w:r>
      <w:r>
        <w:rPr>
          <w:sz w:val="22"/>
          <w:szCs w:val="22"/>
        </w:rPr>
        <w:t xml:space="preserve">конъюнктурного анализа </w:t>
      </w:r>
      <w:r>
        <w:rPr>
          <w:color w:val="000000"/>
          <w:sz w:val="22"/>
          <w:szCs w:val="22"/>
        </w:rPr>
        <w:t>в соответствии с рекомендуемой формой, приведенной в Приложении № 1 к настоящим Методическим рекомендациям и подписывается Заказчиком (инициатором закупочной процедуры) .</w:t>
      </w:r>
    </w:p>
    <w:p>
      <w:pPr>
        <w:pStyle w:val="Normal"/>
        <w:numPr>
          <w:ilvl w:val="2"/>
          <w:numId w:val="17"/>
        </w:numPr>
        <w:tabs>
          <w:tab w:val="clear" w:pos="708"/>
          <w:tab w:val="left" w:pos="567" w:leader="none"/>
        </w:tabs>
        <w:spacing w:lineRule="auto" w:line="276" w:before="0" w:after="200"/>
        <w:ind w:left="284" w:firstLine="283"/>
        <w:contextualSpacing/>
        <w:jc w:val="both"/>
        <w:rPr/>
      </w:pPr>
      <w:r>
        <w:rPr>
          <w:color w:val="000000"/>
          <w:sz w:val="22"/>
          <w:szCs w:val="22"/>
        </w:rPr>
        <w:t>Для проведения конъюнктурного анализа контрагентом (участником закупочной процедуры)</w:t>
      </w:r>
      <w:r>
        <w:rPr>
          <w:color w:val="FF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собирается и обобщается информация </w:t>
      </w:r>
      <w:r>
        <w:rPr>
          <w:sz w:val="22"/>
          <w:szCs w:val="22"/>
        </w:rPr>
        <w:t xml:space="preserve">из открытых и (или) официальных источников о текущих ценах, в том числе, используются: печатные издания, информационно-телекоммуникационная сеть "Интернет", подтверждаемая обосновывающими документами, подписанными производителями и (или) поставщиками соответствующих материальных ресурсов и оборудования (работ, услуг) и (или) заверенными подписями уполномоченного лица производителей и (или) поставщиков, при использовании обосновывающих документов из открытых источников – </w:t>
      </w:r>
      <w:r>
        <w:rPr>
          <w:color w:val="000000"/>
          <w:sz w:val="22"/>
          <w:szCs w:val="22"/>
        </w:rPr>
        <w:t>подписанными уполномоченным лицом (инициатором закупочной процедуры</w:t>
      </w:r>
      <w:r>
        <w:rPr>
          <w:rFonts w:ascii="Calibri" w:hAnsi="Calibri"/>
          <w:color w:val="000000"/>
          <w:sz w:val="22"/>
          <w:szCs w:val="22"/>
        </w:rPr>
        <w:t xml:space="preserve">). </w:t>
      </w:r>
    </w:p>
    <w:p>
      <w:pPr>
        <w:pStyle w:val="Normal"/>
        <w:numPr>
          <w:ilvl w:val="2"/>
          <w:numId w:val="17"/>
        </w:numPr>
        <w:tabs>
          <w:tab w:val="clear" w:pos="708"/>
          <w:tab w:val="left" w:pos="567" w:leader="none"/>
        </w:tabs>
        <w:spacing w:lineRule="auto" w:line="276" w:before="0" w:after="200"/>
        <w:ind w:left="284" w:firstLine="283"/>
        <w:contextualSpacing/>
        <w:jc w:val="both"/>
        <w:rPr/>
      </w:pPr>
      <w:r>
        <w:rPr>
          <w:sz w:val="22"/>
          <w:szCs w:val="22"/>
        </w:rPr>
        <w:t>Для проведения конъюнктурного анализа</w:t>
      </w:r>
      <w:r>
        <w:rPr>
          <w:b/>
          <w:sz w:val="22"/>
          <w:szCs w:val="22"/>
        </w:rPr>
        <w:t xml:space="preserve"> материальных ресурсов и стандартизированного (адаптированного) оборудования </w:t>
      </w:r>
      <w:r>
        <w:rPr>
          <w:sz w:val="22"/>
          <w:szCs w:val="22"/>
        </w:rPr>
        <w:t>используются:</w:t>
      </w:r>
    </w:p>
    <w:p>
      <w:pPr>
        <w:pStyle w:val="Normal"/>
        <w:numPr>
          <w:ilvl w:val="0"/>
          <w:numId w:val="18"/>
        </w:numPr>
        <w:spacing w:lineRule="auto" w:line="276" w:before="0" w:after="200"/>
        <w:ind w:left="567" w:firstLine="283"/>
        <w:contextualSpacing/>
        <w:jc w:val="both"/>
        <w:rPr/>
      </w:pPr>
      <w:r>
        <w:rPr>
          <w:sz w:val="22"/>
          <w:szCs w:val="22"/>
        </w:rPr>
        <w:t xml:space="preserve">копии или оригиналы (при наличии) прейскурантов, прайс-листов, коммерческих предложений и т.п.; </w:t>
      </w:r>
    </w:p>
    <w:p>
      <w:pPr>
        <w:pStyle w:val="Normal"/>
        <w:numPr>
          <w:ilvl w:val="0"/>
          <w:numId w:val="18"/>
        </w:numPr>
        <w:spacing w:lineRule="auto" w:line="276" w:before="0" w:after="200"/>
        <w:ind w:left="567" w:firstLine="283"/>
        <w:contextualSpacing/>
        <w:jc w:val="both"/>
        <w:rPr/>
      </w:pPr>
      <w:r>
        <w:rPr>
          <w:sz w:val="22"/>
          <w:szCs w:val="22"/>
        </w:rPr>
        <w:t xml:space="preserve">технико-коммерческие предложения (далее - </w:t>
      </w:r>
      <w:r>
        <w:rPr>
          <w:b/>
          <w:sz w:val="22"/>
          <w:szCs w:val="22"/>
        </w:rPr>
        <w:t>ТКП</w:t>
      </w:r>
      <w:r>
        <w:rPr>
          <w:sz w:val="22"/>
          <w:szCs w:val="22"/>
        </w:rPr>
        <w:t xml:space="preserve">); - расчетно-калькуляционные цены (далее – </w:t>
      </w:r>
      <w:r>
        <w:rPr>
          <w:b/>
          <w:sz w:val="22"/>
          <w:szCs w:val="22"/>
        </w:rPr>
        <w:t>РКЦ</w:t>
      </w:r>
      <w:r>
        <w:rPr>
          <w:sz w:val="22"/>
          <w:szCs w:val="22"/>
        </w:rPr>
        <w:t>).</w:t>
      </w:r>
    </w:p>
    <w:p>
      <w:pPr>
        <w:pStyle w:val="Normal"/>
        <w:numPr>
          <w:ilvl w:val="2"/>
          <w:numId w:val="17"/>
        </w:numPr>
        <w:spacing w:lineRule="auto" w:line="276" w:before="0" w:after="200"/>
        <w:ind w:left="284" w:firstLine="283"/>
        <w:contextualSpacing/>
        <w:jc w:val="both"/>
        <w:rPr/>
      </w:pPr>
      <w:r>
        <w:rPr>
          <w:sz w:val="22"/>
          <w:szCs w:val="22"/>
        </w:rPr>
        <w:t>Для проведения конъюнктурного анализа</w:t>
      </w:r>
      <w:r>
        <w:rPr>
          <w:b/>
          <w:sz w:val="22"/>
          <w:szCs w:val="22"/>
        </w:rPr>
        <w:t xml:space="preserve"> прочих затрат </w:t>
      </w:r>
      <w:r>
        <w:rPr>
          <w:sz w:val="22"/>
          <w:szCs w:val="22"/>
        </w:rPr>
        <w:t xml:space="preserve">используются: </w:t>
      </w:r>
    </w:p>
    <w:p>
      <w:pPr>
        <w:pStyle w:val="Normal"/>
        <w:numPr>
          <w:ilvl w:val="0"/>
          <w:numId w:val="19"/>
        </w:numPr>
        <w:spacing w:lineRule="auto" w:line="276" w:before="0" w:after="200"/>
        <w:ind w:left="567" w:firstLine="283"/>
        <w:contextualSpacing/>
        <w:jc w:val="both"/>
        <w:rPr/>
      </w:pPr>
      <w:r>
        <w:rPr>
          <w:sz w:val="22"/>
          <w:szCs w:val="22"/>
        </w:rPr>
        <w:t>результаты конкурсов, аукционов;</w:t>
      </w:r>
    </w:p>
    <w:p>
      <w:pPr>
        <w:pStyle w:val="Normal"/>
        <w:numPr>
          <w:ilvl w:val="0"/>
          <w:numId w:val="19"/>
        </w:numPr>
        <w:spacing w:lineRule="auto" w:line="276" w:before="0" w:after="200"/>
        <w:ind w:left="567" w:firstLine="283"/>
        <w:contextualSpacing/>
        <w:jc w:val="both"/>
        <w:rPr/>
      </w:pPr>
      <w:r>
        <w:rPr>
          <w:sz w:val="22"/>
          <w:szCs w:val="22"/>
        </w:rPr>
        <w:t>данные Федеральной службы государственной статистики;</w:t>
      </w:r>
    </w:p>
    <w:p>
      <w:pPr>
        <w:pStyle w:val="Normal"/>
        <w:numPr>
          <w:ilvl w:val="0"/>
          <w:numId w:val="19"/>
        </w:numPr>
        <w:tabs>
          <w:tab w:val="clear" w:pos="708"/>
          <w:tab w:val="left" w:pos="567" w:leader="none"/>
        </w:tabs>
        <w:spacing w:lineRule="auto" w:line="276" w:before="0" w:after="200"/>
        <w:ind w:left="567" w:firstLine="283"/>
        <w:contextualSpacing/>
        <w:jc w:val="both"/>
        <w:rPr/>
      </w:pPr>
      <w:r>
        <w:rPr>
          <w:sz w:val="22"/>
          <w:szCs w:val="22"/>
        </w:rPr>
        <w:t>данные о тарифах, утверждаемых в соответствии с законодательством РФ, копиями или оригиналами (при наличии) данных о ценах и тарифах, размещаемых в форме публичной оферты;</w:t>
      </w:r>
    </w:p>
    <w:p>
      <w:pPr>
        <w:pStyle w:val="Normal"/>
        <w:numPr>
          <w:ilvl w:val="0"/>
          <w:numId w:val="19"/>
        </w:numPr>
        <w:tabs>
          <w:tab w:val="clear" w:pos="708"/>
          <w:tab w:val="left" w:pos="567" w:leader="none"/>
        </w:tabs>
        <w:spacing w:lineRule="auto" w:line="276" w:before="0" w:after="200"/>
        <w:ind w:left="567" w:firstLine="283"/>
        <w:contextualSpacing/>
        <w:jc w:val="both"/>
        <w:rPr/>
      </w:pPr>
      <w:r>
        <w:rPr>
          <w:sz w:val="22"/>
          <w:szCs w:val="22"/>
        </w:rPr>
        <w:t>ТКП не менее трех (при наличии) производителей и (или) поставщиков услуг, в случаях, когда законодательством РФ не предусмотрено государственное регулирование стоимости соответствующих услуг.</w:t>
      </w:r>
    </w:p>
    <w:p>
      <w:pPr>
        <w:pStyle w:val="Normal"/>
        <w:widowControl w:val="false"/>
        <w:numPr>
          <w:ilvl w:val="2"/>
          <w:numId w:val="17"/>
        </w:numPr>
        <w:spacing w:lineRule="auto" w:line="276" w:before="0" w:after="200"/>
        <w:ind w:left="284" w:firstLine="283"/>
        <w:jc w:val="both"/>
        <w:rPr/>
      </w:pPr>
      <w:r>
        <w:rPr>
          <w:sz w:val="22"/>
          <w:szCs w:val="22"/>
        </w:rPr>
        <w:t>Конъюнктурный анализ проводится по данным производителей (поставщиков) соответствующего субъекта РФ (части территории субъекта), на территории которого осуществляется строительство. В случае отсутствия на территории (части территории) субъекта РФ необходимых материальных ресурсов и оборудования, допускается проведение конъюнктурного анализа по данным ближайших производителей (поставщиков), расположенных на территории других субъектов Российской Федерации, с учетом стоимости доставки до объекта строительства, при этом стоимость доставки рассчитывается:</w:t>
      </w:r>
    </w:p>
    <w:p>
      <w:pPr>
        <w:pStyle w:val="Normal"/>
        <w:widowControl w:val="false"/>
        <w:numPr>
          <w:ilvl w:val="0"/>
          <w:numId w:val="20"/>
        </w:numPr>
        <w:spacing w:lineRule="auto" w:line="276" w:before="0" w:after="200"/>
        <w:ind w:left="567" w:firstLine="283"/>
        <w:jc w:val="both"/>
        <w:rPr/>
      </w:pPr>
      <w:r>
        <w:rPr>
          <w:sz w:val="22"/>
          <w:szCs w:val="22"/>
        </w:rPr>
        <w:t>в соответствии со сметными нормативами, сведения о которых включены в ФРСН;</w:t>
      </w:r>
    </w:p>
    <w:p>
      <w:pPr>
        <w:pStyle w:val="Normal"/>
        <w:widowControl w:val="false"/>
        <w:numPr>
          <w:ilvl w:val="0"/>
          <w:numId w:val="20"/>
        </w:numPr>
        <w:spacing w:lineRule="auto" w:line="276" w:before="0" w:after="200"/>
        <w:ind w:left="567" w:firstLine="283"/>
        <w:jc w:val="both"/>
        <w:rPr/>
      </w:pPr>
      <w:r>
        <w:rPr>
          <w:sz w:val="22"/>
          <w:szCs w:val="22"/>
        </w:rPr>
        <w:t>по результатам конъюнктурного анализа на основании данных о текущей стоимости таких услуг, полученных не менее чем от двух производителей и (или) поставщиков данных услуг. В случае оказания услуг, связанных с перевозкой грузов, производителем и (или) поставщиком материальных ресурсов и оборудования, допускается определение их текущей стоимости на основании данных о цене указанных услуг по одному такому производителю и (или) поставщику;</w:t>
      </w:r>
    </w:p>
    <w:p>
      <w:pPr>
        <w:pStyle w:val="Normal"/>
        <w:widowControl w:val="false"/>
        <w:numPr>
          <w:ilvl w:val="0"/>
          <w:numId w:val="20"/>
        </w:numPr>
        <w:spacing w:lineRule="auto" w:line="276" w:before="0" w:after="200"/>
        <w:ind w:left="567" w:firstLine="283"/>
        <w:jc w:val="both"/>
        <w:rPr/>
      </w:pPr>
      <w:r>
        <w:rPr>
          <w:sz w:val="22"/>
          <w:szCs w:val="22"/>
        </w:rPr>
        <w:t>в случае невозможности определения затрат по доставке оборудования на основании расчета или по результатам конъюнктурного анализа, по решению заказчика, сметная стоимость перевозки может приниматься в размере до 3% (трех процентов) от отпускной цены на такое оборудование.</w:t>
      </w:r>
    </w:p>
    <w:p>
      <w:pPr>
        <w:pStyle w:val="Normal"/>
        <w:widowControl w:val="false"/>
        <w:numPr>
          <w:ilvl w:val="2"/>
          <w:numId w:val="17"/>
        </w:numPr>
        <w:spacing w:lineRule="auto" w:line="276" w:before="0" w:after="200"/>
        <w:ind w:left="284" w:firstLine="283"/>
        <w:jc w:val="both"/>
        <w:rPr/>
      </w:pPr>
      <w:r>
        <w:rPr>
          <w:sz w:val="22"/>
          <w:szCs w:val="22"/>
        </w:rPr>
        <w:t>Информация, представляемая производителями и (или) поставщиками соответствующих материальных ресурсов, оборудования, работ и услуг, должна содержать:</w:t>
      </w:r>
    </w:p>
    <w:p>
      <w:pPr>
        <w:pStyle w:val="Normal"/>
        <w:widowControl w:val="false"/>
        <w:numPr>
          <w:ilvl w:val="1"/>
          <w:numId w:val="15"/>
        </w:numPr>
        <w:spacing w:lineRule="auto" w:line="276" w:before="0" w:after="200"/>
        <w:ind w:left="567" w:firstLine="283"/>
        <w:jc w:val="both"/>
        <w:rPr/>
      </w:pPr>
      <w:r>
        <w:rPr>
          <w:sz w:val="22"/>
          <w:szCs w:val="22"/>
        </w:rPr>
        <w:t>Наименование, ИНН, контактные данные, данные об исполнителе документа с указанием его фамилии и инициалов (или иных реквизитов, необходимых для идентификации исполнителей);</w:t>
      </w:r>
    </w:p>
    <w:p>
      <w:pPr>
        <w:pStyle w:val="Normal"/>
        <w:widowControl w:val="false"/>
        <w:numPr>
          <w:ilvl w:val="1"/>
          <w:numId w:val="15"/>
        </w:numPr>
        <w:spacing w:lineRule="auto" w:line="276" w:before="0" w:after="200"/>
        <w:ind w:left="567" w:firstLine="283"/>
        <w:jc w:val="both"/>
        <w:rPr/>
      </w:pPr>
      <w:r>
        <w:rPr>
          <w:sz w:val="22"/>
          <w:szCs w:val="22"/>
        </w:rPr>
        <w:t>Дату составления документа, дату и (или) сроки действия ценовых предложений, информацию о включении в цену отдельных затрат (перевозка, шефмонтаж, шефналадка и т.п.), а также НДС.</w:t>
      </w:r>
    </w:p>
    <w:p>
      <w:pPr>
        <w:pStyle w:val="Normal"/>
        <w:widowControl w:val="false"/>
        <w:numPr>
          <w:ilvl w:val="0"/>
          <w:numId w:val="15"/>
        </w:numPr>
        <w:spacing w:lineRule="auto" w:line="276" w:before="0" w:after="200"/>
        <w:ind w:left="284" w:firstLine="283"/>
        <w:jc w:val="both"/>
        <w:rPr/>
      </w:pPr>
      <w:r>
        <w:rPr>
          <w:b/>
          <w:sz w:val="22"/>
          <w:szCs w:val="22"/>
        </w:rPr>
        <w:t>ТКП</w:t>
      </w:r>
      <w:r>
        <w:rPr>
          <w:sz w:val="22"/>
          <w:szCs w:val="22"/>
        </w:rPr>
        <w:t xml:space="preserve"> должны включать материальные ресурсы, оборудование и услуги с характеристиками, соответствующими решениям и мероприятиям проектной и рабочей документации, заверяются подписями и печатями (при наличии) уполномоченных лиц производителей с указанием их фамилий и инициалов, либо иных реквизитов, необходимых для идентификации этих лиц и должны содержать:</w:t>
      </w:r>
    </w:p>
    <w:p>
      <w:pPr>
        <w:pStyle w:val="Normal"/>
        <w:widowControl w:val="false"/>
        <w:numPr>
          <w:ilvl w:val="1"/>
          <w:numId w:val="15"/>
        </w:numPr>
        <w:spacing w:lineRule="auto" w:line="276" w:before="0" w:after="200"/>
        <w:ind w:left="567" w:firstLine="283"/>
        <w:jc w:val="both"/>
        <w:rPr/>
      </w:pPr>
      <w:r>
        <w:rPr>
          <w:sz w:val="22"/>
          <w:szCs w:val="22"/>
        </w:rPr>
        <w:t>Наименование, ИНН, контактные данные, данные об исполнителе документа с указанием его фамилии и инициалов (или иных реквизитов, необходимых для идентификации этих лиц);</w:t>
      </w:r>
    </w:p>
    <w:p>
      <w:pPr>
        <w:pStyle w:val="Normal"/>
        <w:widowControl w:val="false"/>
        <w:numPr>
          <w:ilvl w:val="1"/>
          <w:numId w:val="15"/>
        </w:numPr>
        <w:spacing w:lineRule="auto" w:line="276" w:before="0" w:after="200"/>
        <w:ind w:left="567" w:firstLine="283"/>
        <w:jc w:val="both"/>
        <w:rPr/>
      </w:pPr>
      <w:r>
        <w:rPr>
          <w:sz w:val="22"/>
          <w:szCs w:val="22"/>
        </w:rPr>
        <w:t>Дату составления документа, дата и (или) сроки действия ценовых предложений, информация о включении в цену отдельных затрат (перевозка, шефмонтаж, шефналадка и т.п.), а также НДС.</w:t>
      </w:r>
    </w:p>
    <w:p>
      <w:pPr>
        <w:pStyle w:val="Normal"/>
        <w:widowControl w:val="false"/>
        <w:numPr>
          <w:ilvl w:val="1"/>
          <w:numId w:val="15"/>
        </w:numPr>
        <w:spacing w:lineRule="auto" w:line="276" w:before="0" w:after="200"/>
        <w:ind w:left="567" w:firstLine="283"/>
        <w:jc w:val="both"/>
        <w:rPr/>
      </w:pPr>
      <w:r>
        <w:rPr>
          <w:sz w:val="22"/>
          <w:szCs w:val="22"/>
        </w:rPr>
        <w:t xml:space="preserve">Информацию о стоимости материальных ресурсов, оборудования, работ и услуг с указанием единицы измерения, валюты расчета, курса пересчета (при использовании ценовой информации в валюте иностранного государства). </w:t>
      </w:r>
    </w:p>
    <w:p>
      <w:pPr>
        <w:pStyle w:val="Normal"/>
        <w:widowControl w:val="false"/>
        <w:numPr>
          <w:ilvl w:val="0"/>
          <w:numId w:val="15"/>
        </w:numPr>
        <w:spacing w:lineRule="auto" w:line="276" w:before="0" w:after="200"/>
        <w:ind w:left="284" w:firstLine="283"/>
        <w:jc w:val="both"/>
        <w:rPr/>
      </w:pPr>
      <w:r>
        <w:rPr>
          <w:b/>
          <w:sz w:val="22"/>
          <w:szCs w:val="22"/>
        </w:rPr>
        <w:t xml:space="preserve">РКЦ </w:t>
      </w:r>
      <w:r>
        <w:rPr>
          <w:sz w:val="22"/>
          <w:szCs w:val="22"/>
        </w:rPr>
        <w:t>должны содержать следующие статьи затрат:</w:t>
      </w:r>
    </w:p>
    <w:p>
      <w:pPr>
        <w:pStyle w:val="Normal"/>
        <w:widowControl w:val="false"/>
        <w:numPr>
          <w:ilvl w:val="1"/>
          <w:numId w:val="15"/>
        </w:numPr>
        <w:spacing w:lineRule="auto" w:line="276" w:before="0" w:after="200"/>
        <w:ind w:left="567" w:firstLine="283"/>
        <w:jc w:val="both"/>
        <w:rPr/>
      </w:pPr>
      <w:r>
        <w:rPr>
          <w:sz w:val="22"/>
          <w:szCs w:val="22"/>
        </w:rPr>
        <w:t>затраты на приобретение материалов, комплектующих и полуфабрикатов, определяемые по актуальным текущим отпускным ценам, представленным производителями материальных ресурсов;</w:t>
      </w:r>
    </w:p>
    <w:p>
      <w:pPr>
        <w:pStyle w:val="Normal"/>
        <w:widowControl w:val="false"/>
        <w:numPr>
          <w:ilvl w:val="1"/>
          <w:numId w:val="15"/>
        </w:numPr>
        <w:spacing w:lineRule="auto" w:line="276" w:before="0" w:after="200"/>
        <w:ind w:left="567" w:firstLine="283"/>
        <w:jc w:val="both"/>
        <w:rPr/>
      </w:pPr>
      <w:r>
        <w:rPr>
          <w:sz w:val="22"/>
          <w:szCs w:val="22"/>
        </w:rPr>
        <w:t>транспортные расходы (включая погрузочно-разгрузочные работы) и заготовительно-складские расходы, определяемые расчетом;</w:t>
      </w:r>
    </w:p>
    <w:p>
      <w:pPr>
        <w:pStyle w:val="Normal"/>
        <w:widowControl w:val="false"/>
        <w:numPr>
          <w:ilvl w:val="1"/>
          <w:numId w:val="15"/>
        </w:numPr>
        <w:spacing w:lineRule="auto" w:line="276" w:before="0" w:after="200"/>
        <w:ind w:left="567" w:firstLine="283"/>
        <w:jc w:val="both"/>
        <w:rPr/>
      </w:pPr>
      <w:r>
        <w:rPr>
          <w:sz w:val="22"/>
          <w:szCs w:val="22"/>
        </w:rPr>
        <w:t>затраты на оплату труда с учетом страховых взносов и время работы оборудования (машин и механизмов), которые определяются расчетом в соответствии с техническими характеристиками оборудования (машин, механизмов). Потребность в затратах труда и времени работы оборудования (машин и механизмов) учитывается в соответствии с технологией производства работ, а их расход обосновывается действующими нормативами и (или) технической документацией на изготовление оборудования. При расчете часовых ставок оплаты труда должны быть использованы данные среднемесячной заработной платы, сложившиеся в организации производителя;</w:t>
      </w:r>
    </w:p>
    <w:p>
      <w:pPr>
        <w:pStyle w:val="Normal"/>
        <w:widowControl w:val="false"/>
        <w:numPr>
          <w:ilvl w:val="1"/>
          <w:numId w:val="15"/>
        </w:numPr>
        <w:spacing w:lineRule="auto" w:line="276" w:before="0" w:after="200"/>
        <w:ind w:left="567" w:firstLine="283"/>
        <w:jc w:val="both"/>
        <w:rPr/>
      </w:pPr>
      <w:r>
        <w:rPr>
          <w:sz w:val="22"/>
          <w:szCs w:val="22"/>
        </w:rPr>
        <w:t>затраты на приобретение энергоресурсов по тарифам, утвержденным в соответствии с законодательством РФ, общепроизводственные и общехозяйственные расходы (накладные расходы), затраты на амортизацию, которые формируются в соответствии с законодательством РФ о бухгалтерском и налоговом учете. Предоставляется расшифровка каждой статьи затрат или указывается только планируемая доля (норма) данных расходов;</w:t>
      </w:r>
    </w:p>
    <w:p>
      <w:pPr>
        <w:pStyle w:val="Normal"/>
        <w:widowControl w:val="false"/>
        <w:numPr>
          <w:ilvl w:val="1"/>
          <w:numId w:val="15"/>
        </w:numPr>
        <w:spacing w:lineRule="auto" w:line="276" w:before="0" w:after="200"/>
        <w:ind w:left="567" w:firstLine="283"/>
        <w:jc w:val="both"/>
        <w:rPr/>
      </w:pPr>
      <w:r>
        <w:rPr>
          <w:sz w:val="22"/>
          <w:szCs w:val="22"/>
        </w:rPr>
        <w:t>прибыль (норма прибыли), предусмотренная учетной политикой</w:t>
      </w:r>
      <w:r>
        <w:rPr>
          <w:rFonts w:cs="Arial" w:ascii="Arial" w:hAnsi="Arial"/>
          <w:sz w:val="20"/>
          <w:szCs w:val="20"/>
        </w:rPr>
        <w:t xml:space="preserve"> </w:t>
      </w:r>
      <w:r>
        <w:rPr>
          <w:sz w:val="22"/>
          <w:szCs w:val="22"/>
        </w:rPr>
        <w:t>производителя.</w:t>
      </w:r>
    </w:p>
    <w:p>
      <w:pPr>
        <w:pStyle w:val="Normal"/>
        <w:widowControl w:val="false"/>
        <w:numPr>
          <w:ilvl w:val="0"/>
          <w:numId w:val="15"/>
        </w:numPr>
        <w:spacing w:lineRule="auto" w:line="276" w:before="0" w:after="200"/>
        <w:ind w:left="284" w:firstLine="283"/>
        <w:jc w:val="both"/>
        <w:rPr/>
      </w:pPr>
      <w:r>
        <w:rPr>
          <w:sz w:val="22"/>
          <w:szCs w:val="22"/>
        </w:rPr>
        <w:t xml:space="preserve">Для обоснования РКЦ формируется комплект расчетно-калькуляционных материалов (далее - </w:t>
      </w:r>
      <w:r>
        <w:rPr>
          <w:b/>
          <w:sz w:val="22"/>
          <w:szCs w:val="22"/>
        </w:rPr>
        <w:t>РКМ</w:t>
      </w:r>
      <w:r>
        <w:rPr>
          <w:sz w:val="22"/>
          <w:szCs w:val="22"/>
        </w:rPr>
        <w:t>). Типовой комплект РКМ включает в себя:</w:t>
      </w:r>
    </w:p>
    <w:p>
      <w:pPr>
        <w:pStyle w:val="Normal"/>
        <w:widowControl w:val="false"/>
        <w:numPr>
          <w:ilvl w:val="1"/>
          <w:numId w:val="15"/>
        </w:numPr>
        <w:spacing w:lineRule="auto" w:line="276" w:before="0" w:after="200"/>
        <w:ind w:left="567" w:firstLine="284"/>
        <w:jc w:val="both"/>
        <w:rPr/>
      </w:pPr>
      <w:r>
        <w:rPr>
          <w:sz w:val="22"/>
          <w:szCs w:val="22"/>
        </w:rPr>
        <w:t>расшифровки понесенных прямых затрат на изготовление единицы продукции, включая обоснование принятой при расчете РКЦ нормы прибыли;</w:t>
      </w:r>
    </w:p>
    <w:p>
      <w:pPr>
        <w:pStyle w:val="Normal"/>
        <w:widowControl w:val="false"/>
        <w:numPr>
          <w:ilvl w:val="1"/>
          <w:numId w:val="15"/>
        </w:numPr>
        <w:spacing w:lineRule="auto" w:line="276" w:before="0" w:after="200"/>
        <w:ind w:left="567" w:firstLine="284"/>
        <w:jc w:val="both"/>
        <w:rPr/>
      </w:pPr>
      <w:r>
        <w:rPr>
          <w:sz w:val="22"/>
          <w:szCs w:val="22"/>
        </w:rPr>
        <w:t>информацию о расходе материалов и изделий (в физических единицах измерения);</w:t>
      </w:r>
    </w:p>
    <w:p>
      <w:pPr>
        <w:pStyle w:val="Normal"/>
        <w:widowControl w:val="false"/>
        <w:numPr>
          <w:ilvl w:val="1"/>
          <w:numId w:val="15"/>
        </w:numPr>
        <w:spacing w:lineRule="auto" w:line="276" w:before="0" w:after="200"/>
        <w:ind w:left="567" w:firstLine="284"/>
        <w:jc w:val="both"/>
        <w:rPr/>
      </w:pPr>
      <w:r>
        <w:rPr>
          <w:sz w:val="22"/>
          <w:szCs w:val="22"/>
        </w:rPr>
        <w:t>расшифровки принятых в РКЦ накладных расходов и амортизации;</w:t>
      </w:r>
    </w:p>
    <w:p>
      <w:pPr>
        <w:pStyle w:val="Normal"/>
        <w:widowControl w:val="false"/>
        <w:numPr>
          <w:ilvl w:val="1"/>
          <w:numId w:val="15"/>
        </w:numPr>
        <w:spacing w:lineRule="auto" w:line="276" w:before="0" w:after="200"/>
        <w:ind w:left="567" w:firstLine="284"/>
        <w:jc w:val="both"/>
        <w:rPr/>
      </w:pPr>
      <w:r>
        <w:rPr>
          <w:sz w:val="22"/>
          <w:szCs w:val="22"/>
        </w:rPr>
        <w:t>первичные бухгалтерские учетные документы, подтверждающие стоимость материалов (сырья, комплектующих) (прайс-листы, коммерческие предложения, счета-фактуры).</w:t>
      </w:r>
    </w:p>
    <w:p>
      <w:pPr>
        <w:pStyle w:val="Normal"/>
        <w:widowControl w:val="false"/>
        <w:ind w:left="284" w:firstLine="283"/>
        <w:jc w:val="both"/>
        <w:rPr/>
      </w:pPr>
      <w:r>
        <w:rPr>
          <w:sz w:val="22"/>
          <w:szCs w:val="22"/>
        </w:rPr>
        <w:t>Для подтверждения указанных расчетов к РКМ могут прилагаться или запрашиваться дополнительно следующие документы:</w:t>
      </w:r>
    </w:p>
    <w:p>
      <w:pPr>
        <w:pStyle w:val="Normal"/>
        <w:widowControl w:val="false"/>
        <w:numPr>
          <w:ilvl w:val="0"/>
          <w:numId w:val="21"/>
        </w:numPr>
        <w:spacing w:lineRule="auto" w:line="276" w:before="0" w:after="200"/>
        <w:ind w:left="567" w:firstLine="284"/>
        <w:jc w:val="both"/>
        <w:rPr/>
      </w:pPr>
      <w:r>
        <w:rPr>
          <w:sz w:val="22"/>
          <w:szCs w:val="22"/>
        </w:rPr>
        <w:t>рабочие чертежи изделий;</w:t>
      </w:r>
    </w:p>
    <w:p>
      <w:pPr>
        <w:pStyle w:val="Normal"/>
        <w:widowControl w:val="false"/>
        <w:numPr>
          <w:ilvl w:val="0"/>
          <w:numId w:val="21"/>
        </w:numPr>
        <w:spacing w:lineRule="auto" w:line="276" w:before="0" w:after="200"/>
        <w:ind w:left="567" w:firstLine="284"/>
        <w:jc w:val="both"/>
        <w:rPr/>
      </w:pPr>
      <w:r>
        <w:rPr>
          <w:sz w:val="22"/>
          <w:szCs w:val="22"/>
        </w:rPr>
        <w:t>уровень нормируемой среднемесячной заработной платы работников производителя;</w:t>
      </w:r>
    </w:p>
    <w:p>
      <w:pPr>
        <w:pStyle w:val="Normal"/>
        <w:widowControl w:val="false"/>
        <w:numPr>
          <w:ilvl w:val="0"/>
          <w:numId w:val="21"/>
        </w:numPr>
        <w:spacing w:lineRule="auto" w:line="276" w:before="0" w:after="200"/>
        <w:ind w:left="567" w:firstLine="284"/>
        <w:jc w:val="both"/>
        <w:rPr/>
      </w:pPr>
      <w:r>
        <w:rPr>
          <w:sz w:val="22"/>
          <w:szCs w:val="22"/>
        </w:rPr>
        <w:t>документы, подтверждающие размер накладных расходов производителя;</w:t>
      </w:r>
    </w:p>
    <w:p>
      <w:pPr>
        <w:pStyle w:val="Normal"/>
        <w:widowControl w:val="false"/>
        <w:numPr>
          <w:ilvl w:val="0"/>
          <w:numId w:val="21"/>
        </w:numPr>
        <w:spacing w:lineRule="auto" w:line="276" w:before="0" w:after="200"/>
        <w:ind w:left="567" w:firstLine="284"/>
        <w:jc w:val="both"/>
        <w:rPr/>
      </w:pPr>
      <w:r>
        <w:rPr>
          <w:sz w:val="22"/>
          <w:szCs w:val="22"/>
        </w:rPr>
        <w:t>справка о выпуске продукции за отчетный период в стоимостном и количественном выражении;</w:t>
      </w:r>
    </w:p>
    <w:p>
      <w:pPr>
        <w:pStyle w:val="Normal"/>
        <w:widowControl w:val="false"/>
        <w:numPr>
          <w:ilvl w:val="0"/>
          <w:numId w:val="21"/>
        </w:numPr>
        <w:spacing w:lineRule="auto" w:line="276" w:before="0" w:after="200"/>
        <w:ind w:left="567" w:firstLine="284"/>
        <w:jc w:val="both"/>
        <w:rPr/>
      </w:pPr>
      <w:r>
        <w:rPr>
          <w:sz w:val="22"/>
          <w:szCs w:val="22"/>
        </w:rPr>
        <w:t>первичные бухгалтерские учетные документы, подтверждающие размер понесенных затрат;</w:t>
      </w:r>
    </w:p>
    <w:p>
      <w:pPr>
        <w:pStyle w:val="Normal"/>
        <w:widowControl w:val="false"/>
        <w:numPr>
          <w:ilvl w:val="0"/>
          <w:numId w:val="21"/>
        </w:numPr>
        <w:spacing w:lineRule="auto" w:line="276" w:before="0" w:after="200"/>
        <w:ind w:left="567" w:firstLine="284"/>
        <w:jc w:val="both"/>
        <w:rPr/>
      </w:pPr>
      <w:r>
        <w:rPr>
          <w:sz w:val="22"/>
          <w:szCs w:val="22"/>
        </w:rPr>
        <w:t>технологическая документация, подтверждающая расчет стоимости материальных ресурсов и трудозатрат.</w:t>
      </w:r>
    </w:p>
    <w:p>
      <w:pPr>
        <w:pStyle w:val="Normal"/>
        <w:widowControl w:val="false"/>
        <w:numPr>
          <w:ilvl w:val="0"/>
          <w:numId w:val="15"/>
        </w:numPr>
        <w:spacing w:lineRule="auto" w:line="276" w:before="0" w:after="200"/>
        <w:ind w:left="284" w:firstLine="283"/>
        <w:jc w:val="both"/>
        <w:rPr/>
      </w:pPr>
      <w:r>
        <w:rPr>
          <w:sz w:val="22"/>
          <w:szCs w:val="22"/>
        </w:rPr>
        <w:t>Документы комплекта РКМ должны быть заверены подписями и печатями (при наличии) уполномоченных лиц производителей и соответствовать требованиям законодательства о бухгалтерском учете РФ. Данный перечень документов актуален только для производителей на территории РФ, для прочих поставщиков (производителей) РКМ формируется в свободной форме,</w:t>
      </w:r>
      <w:r>
        <w:rPr>
          <w:rFonts w:cs="Arial" w:ascii="Arial" w:hAnsi="Arial"/>
          <w:color w:val="FF0000"/>
          <w:sz w:val="20"/>
          <w:szCs w:val="20"/>
        </w:rPr>
        <w:t xml:space="preserve"> </w:t>
      </w:r>
      <w:r>
        <w:rPr>
          <w:color w:val="000000"/>
          <w:sz w:val="22"/>
          <w:szCs w:val="22"/>
        </w:rPr>
        <w:t>позволяющей идентифицировать характеристики оборудования на предмет соответствия проектным решениям, заверяются подписями и печатями (при наличии).</w:t>
      </w:r>
    </w:p>
    <w:p>
      <w:pPr>
        <w:pStyle w:val="Normal"/>
        <w:widowControl w:val="false"/>
        <w:numPr>
          <w:ilvl w:val="0"/>
          <w:numId w:val="15"/>
        </w:numPr>
        <w:spacing w:lineRule="auto" w:line="276" w:before="0" w:after="200"/>
        <w:ind w:left="284" w:firstLine="283"/>
        <w:jc w:val="both"/>
        <w:rPr/>
      </w:pPr>
      <w:r>
        <w:rPr>
          <w:sz w:val="22"/>
          <w:szCs w:val="22"/>
        </w:rPr>
        <w:t xml:space="preserve">Обосновывающие стоимость в текущих ценах документы должны быть получены в период, не превышающий 6 месяцев до момента определения сметной стоимости. </w:t>
      </w:r>
    </w:p>
    <w:p>
      <w:pPr>
        <w:pStyle w:val="Normal"/>
        <w:keepNext w:val="true"/>
        <w:keepLines/>
        <w:widowControl w:val="false"/>
        <w:numPr>
          <w:ilvl w:val="0"/>
          <w:numId w:val="15"/>
        </w:numPr>
        <w:spacing w:lineRule="auto" w:line="276" w:before="0" w:after="120"/>
        <w:ind w:left="284" w:firstLine="283"/>
        <w:jc w:val="both"/>
        <w:rPr/>
      </w:pPr>
      <w:r>
        <w:rPr>
          <w:sz w:val="22"/>
          <w:szCs w:val="22"/>
        </w:rPr>
        <w:t xml:space="preserve">В случае, когда в проектной (или иной технической документации) отсутствуют детальные технические требования к индивидуально изготавливаемым материальным ресурсам, к индивидуальному стандартизированному (адаптированному) и (или) не стандартизированному оборудованию и проведение конъюнктурного анализа в данный период (6 месяцев) невозможно, допускается, по согласованию с </w:t>
      </w:r>
      <w:r>
        <w:rPr>
          <w:color w:val="000000"/>
          <w:sz w:val="22"/>
          <w:szCs w:val="22"/>
        </w:rPr>
        <w:t>заказчиком</w:t>
      </w:r>
      <w:r>
        <w:rPr>
          <w:sz w:val="22"/>
          <w:szCs w:val="22"/>
        </w:rPr>
        <w:t>, использовать обосновывающие документы более ранних периодов с приведением стоимости к текущему уровню цен.</w:t>
      </w:r>
    </w:p>
    <w:sectPr>
      <w:headerReference w:type="default" r:id="rId11"/>
      <w:headerReference w:type="first" r:id="rId12"/>
      <w:footnotePr>
        <w:numFmt w:val="decimal"/>
        <w:numRestart w:val="eachPage"/>
      </w:footnotePr>
      <w:type w:val="nextPage"/>
      <w:pgSz w:w="11906" w:h="16838"/>
      <w:pgMar w:left="1134" w:right="851" w:gutter="0" w:header="680" w:top="1134" w:footer="0" w:bottom="992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rPr/>
      </w:pPr>
      <w:r>
        <w:rPr>
          <w:rStyle w:val="Style"/>
        </w:rPr>
        <w:footnoteRef/>
      </w:r>
      <w:r>
        <w:rPr/>
        <w:t xml:space="preserve"> </w:t>
      </w:r>
      <w:r>
        <w:rPr/>
        <w:t>Если в организации функции главного бухгалтера выполняет генеральный директор–ставится только его виза.</w:t>
      </w:r>
    </w:p>
    <w:p>
      <w:pPr>
        <w:pStyle w:val="FootnoteText"/>
        <w:rPr/>
      </w:pPr>
      <w:r>
        <w:rPr/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10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35</w:t>
    </w:r>
    <w:r>
      <w:rPr/>
      <w:fldChar w:fldCharType="end"/>
    </w:r>
  </w:p>
</w:hdr>
</file>

<file path=word/header1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8</w:t>
    </w:r>
    <w:r>
      <w:rPr/>
      <w:fldChar w:fldCharType="end"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rPr/>
    </w:pPr>
    <w:r>
      <w:rPr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15</w:t>
    </w:r>
    <w:r>
      <w:rPr/>
      <w:fldChar w:fldCharType="end"/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rPr/>
    </w:pPr>
    <w:r>
      <w:rPr/>
    </w:r>
  </w:p>
</w:hdr>
</file>

<file path=word/header8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27</w:t>
    </w:r>
    <w:r>
      <w:rPr/>
      <w:fldChar w:fldCharType="end"/>
    </w:r>
  </w:p>
</w:hdr>
</file>

<file path=word/header9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/>
        <w:b w:val="false"/>
        <w:szCs w:val="22"/>
        <w:iCs w:val="false"/>
        <w:bCs w:val="false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i w:val="false"/>
        <w:b w:val="false"/>
        <w:szCs w:val="24"/>
        <w:iCs w:val="false"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49" w:hanging="432"/>
      </w:pPr>
      <w:rPr>
        <w:sz w:val="24"/>
        <w:i w:val="false"/>
        <w:b w:val="false"/>
        <w:szCs w:val="24"/>
        <w:iCs w:val="false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/>
        <w:i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1">
    <w:lvl w:ilvl="0">
      <w:start w:val="4"/>
      <w:numFmt w:val="decimal"/>
      <w:lvlText w:val="%1.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  <w:rPr>
        <w:b w:val="false"/>
        <w:bCs w:val="fals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1800"/>
      </w:pPr>
      <w:rPr/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/>
        <w:i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4">
    <w:lvl w:ilvl="0">
      <w:start w:val="1"/>
      <w:numFmt w:val="bullet"/>
      <w:lvlText w:val=""/>
      <w:lvlJc w:val="left"/>
      <w:pPr>
        <w:tabs>
          <w:tab w:val="num" w:pos="0"/>
        </w:tabs>
        <w:ind w:left="164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eastAsia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6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86" w:hanging="360"/>
      </w:pPr>
      <w:rPr/>
    </w:lvl>
    <w:lvl w:ilvl="2">
      <w:start w:val="1"/>
      <w:numFmt w:val="decimal"/>
      <w:lvlText w:val="%3."/>
      <w:lvlJc w:val="left"/>
      <w:pPr>
        <w:tabs>
          <w:tab w:val="num" w:pos="0"/>
        </w:tabs>
        <w:ind w:left="1572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98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4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1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6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422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8" w:hanging="1800"/>
      </w:pPr>
      <w:rPr/>
    </w:lvl>
  </w:abstractNum>
  <w:abstractNum w:abstractNumId="18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9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20"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20" w:hanging="360"/>
      </w:pPr>
      <w:rPr>
        <w:rFonts w:ascii="Wingdings" w:hAnsi="Wingdings" w:cs="Wingdings" w:hint="default"/>
      </w:rPr>
    </w:lvl>
  </w:abstractNum>
  <w:abstractNum w:abstractNumId="21">
    <w:lvl w:ilvl="0">
      <w:start w:val="1"/>
      <w:numFmt w:val="russianLower"/>
      <w:lvlText w:val="%1)"/>
      <w:lvlJc w:val="left"/>
      <w:pPr>
        <w:tabs>
          <w:tab w:val="num" w:pos="0"/>
        </w:tabs>
        <w:ind w:left="928" w:hanging="360"/>
      </w:pPr>
      <w:rPr>
        <w:color w:val="00000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6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24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42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38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316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34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52" w:hanging="1440"/>
      </w:pPr>
      <w:rPr/>
    </w:lvl>
  </w:abstractNum>
  <w:abstractNum w:abstractNumId="22">
    <w:lvl w:ilvl="0">
      <w:start w:val="1"/>
      <w:numFmt w:val="decimal"/>
      <w:lvlText w:val="%1."/>
      <w:lvlJc w:val="center"/>
      <w:pPr>
        <w:tabs>
          <w:tab w:val="num" w:pos="989"/>
        </w:tabs>
        <w:ind w:left="989" w:hanging="279"/>
      </w:pPr>
      <w:rPr>
        <w:sz w:val="22"/>
        <w:i w:val="false"/>
        <w:u w:val="none"/>
        <w:b w:val="false"/>
        <w:szCs w:val="22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u w:val="none"/>
        <w:b w:val="fals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dstrike w:val="false"/>
        <w:strike w:val="false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/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/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/>
    </w:lvl>
  </w:abstractNum>
  <w:abstractNum w:abstractNumId="23"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20" w:hanging="360"/>
      </w:pPr>
      <w:rPr>
        <w:rFonts w:ascii="Wingdings" w:hAnsi="Wingdings" w:cs="Wingdings" w:hint="default"/>
      </w:rPr>
    </w:lvl>
  </w:abstractNum>
  <w:abstractNum w:abstractNumId="24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25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26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2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footnotePr>
    <w:numFmt w:val="decimal"/>
    <w:numRestart w:val="eachPage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uiPriority="99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014f1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rsid w:val="00353a27"/>
    <w:p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rsid w:val="00ea61a8"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rsid w:val="00310749"/>
    <w:pPr>
      <w:keepNext w:val="true"/>
      <w:tabs>
        <w:tab w:val="clear" w:pos="708"/>
        <w:tab w:val="left" w:pos="0" w:leader="none"/>
      </w:tabs>
      <w:spacing w:before="120" w:after="60"/>
      <w:ind w:left="709" w:hanging="709"/>
      <w:jc w:val="both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rsid w:val="006629c9"/>
    <w:pPr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uiPriority w:val="99"/>
    <w:qFormat/>
    <w:rsid w:val="00d561d9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Hyperlink">
    <w:name w:val="Hyperlink"/>
    <w:uiPriority w:val="99"/>
    <w:rsid w:val="006c2f3f"/>
    <w:rPr>
      <w:color w:val="0000FF"/>
      <w:u w:val="single"/>
    </w:rPr>
  </w:style>
  <w:style w:type="character" w:styleId="Annotationreference">
    <w:name w:val="annotation reference"/>
    <w:uiPriority w:val="99"/>
    <w:qFormat/>
    <w:rsid w:val="00b714b0"/>
    <w:rPr>
      <w:sz w:val="16"/>
      <w:szCs w:val="16"/>
    </w:rPr>
  </w:style>
  <w:style w:type="character" w:styleId="Strong">
    <w:name w:val="Strong"/>
    <w:qFormat/>
    <w:rsid w:val="00165965"/>
    <w:rPr>
      <w:b/>
      <w:bCs/>
    </w:rPr>
  </w:style>
  <w:style w:type="character" w:styleId="6" w:customStyle="1">
    <w:name w:val="Заголовок 6 Знак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" w:customStyle="1">
    <w:name w:val="Заголовок 1 Знак"/>
    <w:qFormat/>
    <w:rsid w:val="00353a27"/>
    <w:rPr>
      <w:rFonts w:eastAsia="Calibri"/>
      <w:b/>
      <w:sz w:val="28"/>
      <w:szCs w:val="28"/>
      <w:lang w:val="x-none" w:eastAsia="x-none"/>
    </w:rPr>
  </w:style>
  <w:style w:type="character" w:styleId="2" w:customStyle="1">
    <w:name w:val="Заголовок 2 Знак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styleId="3" w:customStyle="1">
    <w:name w:val="Заголовок 3 Знак"/>
    <w:qFormat/>
    <w:rsid w:val="00310749"/>
    <w:rPr>
      <w:rFonts w:eastAsia="Calibri"/>
      <w:b/>
      <w:sz w:val="24"/>
      <w:szCs w:val="24"/>
      <w:lang w:val="x-none" w:eastAsia="x-none"/>
    </w:rPr>
  </w:style>
  <w:style w:type="character" w:styleId="4" w:customStyle="1">
    <w:name w:val="Заголовок 4 Знак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uiPriority w:val="9"/>
    <w:qFormat/>
    <w:rsid w:val="00d22f6d"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4"/>
    <w:uiPriority w:val="10"/>
    <w:qFormat/>
    <w:rsid w:val="00d22f6d"/>
    <w:rPr>
      <w:sz w:val="28"/>
    </w:rPr>
  </w:style>
  <w:style w:type="character" w:styleId="Style2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uiPriority w:val="20"/>
    <w:qFormat/>
    <w:rsid w:val="00d22f6d"/>
    <w:rPr>
      <w:i/>
      <w:iCs/>
    </w:rPr>
  </w:style>
  <w:style w:type="character" w:styleId="21" w:customStyle="1">
    <w:name w:val="Цитата 2 Знак"/>
    <w:link w:val="Quote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link w:val="IntenseQuote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uiPriority w:val="99"/>
    <w:qFormat/>
    <w:rsid w:val="00d22f6d"/>
    <w:rPr>
      <w:rFonts w:eastAsia="Calibri"/>
      <w:sz w:val="24"/>
      <w:szCs w:val="24"/>
    </w:rPr>
  </w:style>
  <w:style w:type="character" w:styleId="11" w:customStyle="1">
    <w:name w:val="Подпункт Знак1"/>
    <w:link w:val="Style21"/>
    <w:qFormat/>
    <w:locked/>
    <w:rsid w:val="00d22f6d"/>
    <w:rPr>
      <w:sz w:val="28"/>
    </w:rPr>
  </w:style>
  <w:style w:type="character" w:styleId="Style5" w:customStyle="1">
    <w:name w:val="Текст сноски Знак"/>
    <w:uiPriority w:val="99"/>
    <w:qFormat/>
    <w:rsid w:val="00d22f6d"/>
    <w:rPr/>
  </w:style>
  <w:style w:type="character" w:styleId="Style6" w:customStyle="1">
    <w:name w:val="Основной текст Знак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7" w:customStyle="1">
    <w:name w:val="Абзац списка Знак"/>
    <w:link w:val="ListParagraph"/>
    <w:uiPriority w:val="34"/>
    <w:qFormat/>
    <w:locked/>
    <w:rsid w:val="00310eb4"/>
    <w:rPr>
      <w:rFonts w:eastAsia="Calibri"/>
      <w:sz w:val="24"/>
      <w:szCs w:val="24"/>
    </w:rPr>
  </w:style>
  <w:style w:type="character" w:styleId="Style8" w:customStyle="1">
    <w:name w:val="комментарий"/>
    <w:qFormat/>
    <w:rsid w:val="0025139e"/>
    <w:rPr>
      <w:b/>
      <w:i/>
      <w:shd w:fill="FFFF99" w:val="clear"/>
    </w:rPr>
  </w:style>
  <w:style w:type="character" w:styleId="Style9" w:customStyle="1">
    <w:name w:val="Подподпункт Знак"/>
    <w:link w:val="Style29"/>
    <w:qFormat/>
    <w:locked/>
    <w:rsid w:val="0025139e"/>
    <w:rPr>
      <w:sz w:val="26"/>
      <w:szCs w:val="26"/>
    </w:rPr>
  </w:style>
  <w:style w:type="character" w:styleId="31" w:customStyle="1">
    <w:name w:val="УРОВЕНЬ_Абзац_тип3 Знак"/>
    <w:link w:val="36"/>
    <w:qFormat/>
    <w:rsid w:val="00b56f46"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sid w:val="002f31af"/>
    <w:rPr>
      <w:sz w:val="24"/>
      <w:szCs w:val="24"/>
    </w:rPr>
  </w:style>
  <w:style w:type="character" w:styleId="Style11" w:customStyle="1">
    <w:name w:val="Текст примечания Знак"/>
    <w:link w:val="Annotationtext"/>
    <w:uiPriority w:val="99"/>
    <w:qFormat/>
    <w:rsid w:val="00dc0f7d"/>
    <w:rPr/>
  </w:style>
  <w:style w:type="character" w:styleId="Style12" w:customStyle="1">
    <w:name w:val="Текст концевой сноски Знак"/>
    <w:basedOn w:val="DefaultParagraphFont"/>
    <w:qFormat/>
    <w:rsid w:val="003879d4"/>
    <w:rPr/>
  </w:style>
  <w:style w:type="character" w:styleId="Style13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 w:customStyle="1">
    <w:name w:val="Endnote Characters"/>
    <w:basedOn w:val="DefaultParagraphFont"/>
    <w:qFormat/>
    <w:rsid w:val="003879d4"/>
    <w:rPr>
      <w:vertAlign w:val="superscript"/>
    </w:rPr>
  </w:style>
  <w:style w:type="character" w:styleId="22" w:customStyle="1">
    <w:name w:val="Пункт2 Знак"/>
    <w:link w:val="24"/>
    <w:qFormat/>
    <w:rsid w:val="00de52bc"/>
    <w:rPr>
      <w:b/>
      <w:sz w:val="28"/>
    </w:rPr>
  </w:style>
  <w:style w:type="character" w:styleId="12" w:customStyle="1">
    <w:name w:val="Неразрешенное упоминание1"/>
    <w:basedOn w:val="DefaultParagraphFont"/>
    <w:uiPriority w:val="99"/>
    <w:semiHidden/>
    <w:unhideWhenUsed/>
    <w:qFormat/>
    <w:rsid w:val="00796dd1"/>
    <w:rPr>
      <w:color w:val="605E5C"/>
      <w:shd w:fill="E1DFDD" w:val="clear"/>
    </w:rPr>
  </w:style>
  <w:style w:type="character" w:styleId="32" w:customStyle="1">
    <w:name w:val="Основной текст с отступом 3 Знак"/>
    <w:link w:val="BodyTextIndent3"/>
    <w:qFormat/>
    <w:rsid w:val="00413c84"/>
    <w:rPr>
      <w:sz w:val="16"/>
      <w:szCs w:val="16"/>
    </w:rPr>
  </w:style>
  <w:style w:type="character" w:styleId="Style14" w:customStyle="1">
    <w:name w:val="Ссылка указателя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link w:val="Style6"/>
    <w:rsid w:val="0076353a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Style17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18" w:customStyle="1">
    <w:name w:val="Раздел положения"/>
    <w:basedOn w:val="Normal"/>
    <w:autoRedefine/>
    <w:qFormat/>
    <w:rsid w:val="007475ee"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19" w:customStyle="1">
    <w:name w:val="Подраздел раздела положения"/>
    <w:basedOn w:val="Normal"/>
    <w:autoRedefine/>
    <w:qFormat/>
    <w:rsid w:val="007475ee"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uiPriority w:val="99"/>
    <w:rsid w:val="00d561d9"/>
    <w:pPr/>
    <w:rPr>
      <w:sz w:val="20"/>
      <w:szCs w:val="20"/>
    </w:rPr>
  </w:style>
  <w:style w:type="paragraph" w:styleId="13" w:customStyle="1">
    <w:name w:val="Шапка 1"/>
    <w:basedOn w:val="Normal"/>
    <w:qFormat/>
    <w:rsid w:val="00d561d9"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rsid w:val="00d561d9"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 w:customStyle="1">
    <w:name w:val="Шапка 3"/>
    <w:basedOn w:val="Normal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4" w:customStyle="1">
    <w:name w:val="Название1"/>
    <w:basedOn w:val="Normal"/>
    <w:link w:val="Style1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20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rsid w:val="0076353a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rsid w:val="0076353a"/>
    <w:pPr>
      <w:ind w:left="360" w:hanging="0"/>
    </w:pPr>
    <w:rPr>
      <w:sz w:val="24"/>
      <w:szCs w:val="24"/>
    </w:rPr>
  </w:style>
  <w:style w:type="paragraph" w:styleId="Footer">
    <w:name w:val="Footer"/>
    <w:basedOn w:val="Normal"/>
    <w:rsid w:val="007635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2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1" w:customStyle="1">
    <w:name w:val="Подпункт"/>
    <w:basedOn w:val="Normal"/>
    <w:link w:val="11"/>
    <w:qFormat/>
    <w:rsid w:val="0076353a"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4" w:customStyle="1">
    <w:name w:val="Пункт2"/>
    <w:basedOn w:val="Normal"/>
    <w:link w:val="22"/>
    <w:qFormat/>
    <w:rsid w:val="0076353a"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uiPriority w:val="39"/>
    <w:rsid w:val="00607c5c"/>
    <w:pPr>
      <w:spacing w:before="120" w:after="0"/>
    </w:pPr>
    <w:rPr>
      <w:rFonts w:cs="Calibri" w:cstheme="minorHAnsi"/>
      <w:b/>
      <w:bCs/>
      <w:i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d06dd5"/>
    <w:pPr>
      <w:tabs>
        <w:tab w:val="clear" w:pos="708"/>
        <w:tab w:val="left" w:pos="1400" w:leader="none"/>
        <w:tab w:val="right" w:pos="9911" w:leader="dot"/>
      </w:tabs>
      <w:ind w:left="560" w:hanging="0"/>
    </w:pPr>
    <w:rPr>
      <w:rFonts w:cs="Calibri" w:cstheme="minorHAnsi"/>
      <w:sz w:val="20"/>
      <w:szCs w:val="20"/>
    </w:rPr>
  </w:style>
  <w:style w:type="paragraph" w:styleId="Style22" w:customStyle="1">
    <w:name w:val="Раздел регламента"/>
    <w:basedOn w:val="Normal"/>
    <w:qFormat/>
    <w:rsid w:val="00e228fa"/>
    <w:pPr/>
    <w:rPr/>
  </w:style>
  <w:style w:type="paragraph" w:styleId="Style23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TOC2">
    <w:name w:val="TOC 2"/>
    <w:basedOn w:val="Normal"/>
    <w:next w:val="Normal"/>
    <w:autoRedefine/>
    <w:uiPriority w:val="39"/>
    <w:rsid w:val="00607c5c"/>
    <w:pPr>
      <w:spacing w:before="120" w:after="0"/>
      <w:ind w:left="280" w:hanging="0"/>
    </w:pPr>
    <w:rPr>
      <w:rFonts w:cs="Calibri" w:cstheme="minorHAnsi"/>
      <w:b/>
      <w:bCs/>
      <w:sz w:val="22"/>
      <w:szCs w:val="22"/>
    </w:rPr>
  </w:style>
  <w:style w:type="paragraph" w:styleId="BalloonText">
    <w:name w:val="Balloon Text"/>
    <w:basedOn w:val="Normal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uiPriority w:val="99"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rsid w:val="00b714b0"/>
    <w:pPr/>
    <w:rPr>
      <w:b/>
      <w:bCs/>
    </w:rPr>
  </w:style>
  <w:style w:type="paragraph" w:styleId="15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f57628"/>
    <w:pPr>
      <w:ind w:left="22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f57628"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607c5c"/>
    <w:pPr>
      <w:ind w:left="840" w:hanging="0"/>
    </w:pPr>
    <w:rPr>
      <w:rFonts w:cs="Calibri" w:cstheme="minorHAnsi"/>
      <w:sz w:val="20"/>
      <w:szCs w:val="20"/>
    </w:rPr>
  </w:style>
  <w:style w:type="paragraph" w:styleId="25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24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Caption11" w:customStyle="1">
    <w:name w:val="caption11"/>
    <w:basedOn w:val="Normal"/>
    <w:next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tyle2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7"/>
    <w:uiPriority w:val="34"/>
    <w:qFormat/>
    <w:rsid w:val="00d22f6d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3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15"/>
    <w:pPr/>
    <w:rPr/>
  </w:style>
  <w:style w:type="paragraph" w:styleId="TOCHeading">
    <w:name w:val="TOC Heading"/>
    <w:basedOn w:val="Heading1"/>
    <w:next w:val="Normal"/>
    <w:uiPriority w:val="39"/>
    <w:qFormat/>
    <w:rsid w:val="00d22f6d"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25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4" w:customStyle="1">
    <w:name w:val="Нумерованный список ур3"/>
    <w:basedOn w:val="Normal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41" w:customStyle="1">
    <w:name w:val="Маркированный список 41"/>
    <w:basedOn w:val="Normal"/>
    <w:qFormat/>
    <w:rsid w:val="00d22f6d"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rsid w:val="00d22f6d"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5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6" w:customStyle="1">
    <w:name w:val="Пункт"/>
    <w:basedOn w:val="Normal"/>
    <w:qFormat/>
    <w:rsid w:val="00d22f6d"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6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7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28" w:customStyle="1">
    <w:name w:val="Таблица шапка"/>
    <w:basedOn w:val="Normal"/>
    <w:qFormat/>
    <w:rsid w:val="00f6408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29" w:customStyle="1">
    <w:name w:val="Подподпункт"/>
    <w:basedOn w:val="Style21"/>
    <w:link w:val="Style9"/>
    <w:qFormat/>
    <w:rsid w:val="0025139e"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30" w:customStyle="1">
    <w:name w:val="УРОВЕНЬ_(а)"/>
    <w:basedOn w:val="ListParagraph"/>
    <w:qFormat/>
    <w:rsid w:val="00b56f46"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rsid w:val="00b56f46"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rsid w:val="00b56f46"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6" w:customStyle="1">
    <w:name w:val="УРОВЕНЬ_Абзац_тип3"/>
    <w:basedOn w:val="ListParagraph"/>
    <w:link w:val="31"/>
    <w:qFormat/>
    <w:rsid w:val="00b56f46"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1" w:customStyle="1">
    <w:name w:val="УРОВЕНЬ_Подпись"/>
    <w:basedOn w:val="ListParagraph"/>
    <w:qFormat/>
    <w:rsid w:val="00b56f46"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7" w:customStyle="1">
    <w:name w:val="Стиль Заголовок 1 + по ширине"/>
    <w:basedOn w:val="Heading1"/>
    <w:qFormat/>
    <w:rsid w:val="005773b2"/>
    <w:pPr>
      <w:keepLines/>
      <w:tabs>
        <w:tab w:val="clear" w:pos="0"/>
        <w:tab w:val="left" w:pos="567" w:leader="none"/>
      </w:tabs>
      <w:spacing w:before="480" w:after="240"/>
      <w:ind w:left="567" w:hanging="567"/>
    </w:pPr>
    <w:rPr>
      <w:rFonts w:ascii="Arial" w:hAnsi="Arial" w:eastAsia="Times New Roman"/>
      <w:bCs/>
      <w:kern w:val="2"/>
      <w:sz w:val="40"/>
      <w:szCs w:val="20"/>
      <w:lang w:val="ru-RU" w:eastAsia="ru-RU"/>
    </w:rPr>
  </w:style>
  <w:style w:type="paragraph" w:styleId="EndnoteText">
    <w:name w:val="Endnote Text"/>
    <w:basedOn w:val="Normal"/>
    <w:link w:val="Style12"/>
    <w:rsid w:val="003879d4"/>
    <w:pPr/>
    <w:rPr>
      <w:sz w:val="20"/>
      <w:szCs w:val="20"/>
    </w:rPr>
  </w:style>
  <w:style w:type="paragraph" w:styleId="28" w:customStyle="1">
    <w:name w:val="Заголовок 2 КВВ"/>
    <w:basedOn w:val="Normal"/>
    <w:qFormat/>
    <w:rsid w:val="00cb35e8"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32" w:customStyle="1">
    <w:name w:val="Таблица текст"/>
    <w:basedOn w:val="Normal"/>
    <w:qFormat/>
    <w:rsid w:val="00343e95"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TOC6">
    <w:name w:val="TOC 6"/>
    <w:basedOn w:val="Normal"/>
    <w:next w:val="Normal"/>
    <w:autoRedefine/>
    <w:semiHidden/>
    <w:unhideWhenUsed/>
    <w:rsid w:val="00796dd1"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semiHidden/>
    <w:unhideWhenUsed/>
    <w:rsid w:val="00796dd1"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semiHidden/>
    <w:unhideWhenUsed/>
    <w:rsid w:val="00796dd1"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Style33" w:customStyle="1">
    <w:name w:val="Содержимое врезки"/>
    <w:basedOn w:val="Normal"/>
    <w:qFormat/>
    <w:pPr/>
    <w:rPr/>
  </w:style>
  <w:style w:type="paragraph" w:styleId="Style34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35" w:customStyle="1">
    <w:name w:val="Заголовок таблицы"/>
    <w:basedOn w:val="Style34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18" w:customStyle="1">
    <w:name w:val="Стиль1"/>
    <w:uiPriority w:val="99"/>
    <w:qFormat/>
    <w:rsid w:val="00f001e4"/>
  </w:style>
  <w:style w:type="numbering" w:styleId="29" w:customStyle="1">
    <w:name w:val="Стиль2"/>
    <w:uiPriority w:val="99"/>
    <w:qFormat/>
    <w:rsid w:val="006629c9"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7">
    <w:name w:val="Table Grid"/>
    <w:basedOn w:val="a5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header" Target="header5.xml"/><Relationship Id="rId7" Type="http://schemas.openxmlformats.org/officeDocument/2006/relationships/header" Target="header6.xml"/><Relationship Id="rId8" Type="http://schemas.openxmlformats.org/officeDocument/2006/relationships/header" Target="header7.xml"/><Relationship Id="rId9" Type="http://schemas.openxmlformats.org/officeDocument/2006/relationships/header" Target="header8.xml"/><Relationship Id="rId10" Type="http://schemas.openxmlformats.org/officeDocument/2006/relationships/header" Target="header9.xml"/><Relationship Id="rId11" Type="http://schemas.openxmlformats.org/officeDocument/2006/relationships/header" Target="header10.xml"/><Relationship Id="rId12" Type="http://schemas.openxmlformats.org/officeDocument/2006/relationships/header" Target="header11.xml"/><Relationship Id="rId13" Type="http://schemas.openxmlformats.org/officeDocument/2006/relationships/footnotes" Target="footnotes.xml"/><Relationship Id="rId14" Type="http://schemas.openxmlformats.org/officeDocument/2006/relationships/numbering" Target="numbering.xml"/><Relationship Id="rId15" Type="http://schemas.openxmlformats.org/officeDocument/2006/relationships/fontTable" Target="fontTable.xml"/><Relationship Id="rId16" Type="http://schemas.openxmlformats.org/officeDocument/2006/relationships/settings" Target="settings.xml"/><Relationship Id="rId17" Type="http://schemas.openxmlformats.org/officeDocument/2006/relationships/theme" Target="theme/theme1.xml"/><Relationship Id="rId1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0785B-5CAA-496F-8CB6-2009DC9BE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Application>AlterOffice/3.4.0.9$Linux_X86_64 LibreOffice_project/b8daf9e823b1a5463a2f48435ddc2e8696e7d4fc</Application>
  <AppVersion>15.0000</AppVersion>
  <Pages>35</Pages>
  <Words>7468</Words>
  <Characters>52130</Characters>
  <CharactersWithSpaces>60100</CharactersWithSpaces>
  <Paragraphs>733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2026-03-18T14:30:00Z</dcterms:created>
  <dc:creator>Быстров Олег Геннадьевич</dc:creator>
  <dc:description/>
  <dc:language>ru-RU</dc:language>
  <cp:lastModifiedBy>korolevkv@corp.gidroogk.com</cp:lastModifiedBy>
  <cp:lastPrinted>2006-07-26T14:04:00Z</cp:lastPrinted>
  <dcterms:modified xsi:type="dcterms:W3CDTF">2026-06-11T09:43:40Z</dcterms:modified>
  <cp:revision>19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